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FA0A8C" w:rsidRPr="00043FD5" w14:paraId="2C64AC5B" w14:textId="6F478F06">
      <w:pPr>
        <w:spacing w:line="180" w:lineRule="auto"/>
        <w:rPr>
          <w:rFonts w:ascii="Arial" w:hAnsi="Arial"/>
          <w:b/>
          <w:color w:val="auto"/>
          <w:sz w:val="16"/>
          <w:szCs w:val="16"/>
          <w:shd w:val="clear" w:color="auto" w:fill="auto"/>
        </w:rPr>
      </w:pPr>
      <w:r w:rsidRPr="000B6C6D">
        <w:rPr>
          <w:rFonts w:ascii="Arial" w:hAnsi="Arial"/>
          <w:b/>
          <w:noProof/>
          <w:sz w:val="16"/>
          <w:szCs w:val="16"/>
        </w:rPr>
        <mc:AlternateContent>
          <mc:Choice Requires="wps">
            <w:drawing>
              <wp:anchor distT="45720" distB="45720" distL="114300" distR="114300" simplePos="0" relativeHeight="251658240" behindDoc="0" locked="0" layoutInCell="1" allowOverlap="1">
                <wp:simplePos x="0" y="0"/>
                <wp:positionH relativeFrom="column">
                  <wp:posOffset>4745852</wp:posOffset>
                </wp:positionH>
                <wp:positionV relativeFrom="page">
                  <wp:posOffset>118441</wp:posOffset>
                </wp:positionV>
                <wp:extent cx="1184275" cy="1783080"/>
                <wp:effectExtent l="0" t="0" r="0" b="0"/>
                <wp:wrapSquare wrapText="bothSides"/>
                <wp:docPr id="217"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184275" cy="1783080"/>
                        </a:xfrm>
                        <a:prstGeom prst="rect">
                          <a:avLst/>
                        </a:prstGeom>
                        <a:solidFill>
                          <a:srgbClr val="FFFFFF"/>
                        </a:solidFill>
                        <a:ln w="9525">
                          <a:noFill/>
                          <a:miter lim="800000"/>
                          <a:headEnd/>
                          <a:tailEnd/>
                        </a:ln>
                      </wps:spPr>
                      <wps:txbx>
                        <w:txbxContent>
                          <w:p w:rsidR="000B6C6D" w:rsidRPr="000B6C6D" w14:textId="3982BA0B">
                            <w:pPr>
                              <w:rPr>
                                <w:rFonts w:ascii="Arial" w:hAnsi="Arial" w:cs="Arial"/>
                                <w:color w:val="auto"/>
                                <w:shd w:val="clear" w:color="auto" w:fill="auto"/>
                              </w:rPr>
                            </w:pPr>
                            <w:r w:rsidRPr="000B6C6D">
                              <w:rPr>
                                <w:rFonts w:ascii="Arial" w:hAnsi="Arial" w:cs="Arial"/>
                              </w:rPr>
                              <w:t>Exhibit MAT-4</w:t>
                            </w:r>
                          </w:p>
                        </w:txbxContent>
                      </wps:txbx>
                      <wps:bodyPr rot="0" vert="horz" wrap="square"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5" type="#_x0000_t202" style="width:93.25pt;height:21.7pt;margin-top:9.35pt;margin-left:373.7pt;mso-height-percent:200;mso-height-relative:margin;mso-position-vertical-relative:page;mso-width-percent:0;mso-width-relative:margin;mso-wrap-distance-bottom:3.6pt;mso-wrap-distance-left:9pt;mso-wrap-distance-right:9pt;mso-wrap-distance-top:3.6pt;mso-wrap-style:square;position:absolute;visibility:visible;v-text-anchor:top;z-index:251659264" stroked="f">
                <v:textbox style="mso-fit-shape-to-text:t">
                  <w:txbxContent>
                    <w:p w:rsidR="000B6C6D" w:rsidRPr="000B6C6D" w14:paraId="6D77967A" w14:textId="3982BA0B">
                      <w:pPr>
                        <w:rPr>
                          <w:rFonts w:ascii="Arial" w:hAnsi="Arial" w:cs="Arial"/>
                        </w:rPr>
                      </w:pPr>
                      <w:r w:rsidRPr="000B6C6D">
                        <w:rPr>
                          <w:rFonts w:ascii="Arial" w:hAnsi="Arial" w:cs="Arial"/>
                        </w:rPr>
                        <w:t>Exhibit MAT-4</w:t>
                      </w:r>
                    </w:p>
                  </w:txbxContent>
                </v:textbox>
                <w10:wrap type="square"/>
              </v:shape>
            </w:pict>
          </mc:Fallback>
        </mc:AlternateContent>
      </w:r>
      <w:r w:rsidR="00D903BB">
        <w:rPr>
          <w:rFonts w:ascii="Arial" w:hAnsi="Arial"/>
          <w:b/>
          <w:sz w:val="16"/>
          <w:szCs w:val="16"/>
        </w:rPr>
        <w:t>`</w:t>
      </w:r>
    </w:p>
    <w:p w:rsidR="00FA0A8C" w:rsidP="005B6B3C" w14:paraId="2D34F2FB" w14:textId="7F4E05F5">
      <w:pPr>
        <w:ind w:left="1350" w:hanging="1350"/>
        <w:rPr>
          <w:rFonts w:ascii="Arial" w:hAnsi="Arial"/>
          <w:b/>
          <w:color w:val="auto"/>
          <w:sz w:val="32"/>
          <w:shd w:val="clear" w:color="auto" w:fill="auto"/>
        </w:rPr>
      </w:pPr>
      <w:r>
        <w:rPr>
          <w:rFonts w:ascii="Arial" w:hAnsi="Arial"/>
          <w:b/>
          <w:sz w:val="32"/>
        </w:rPr>
        <w:t>6.1.1.6.</w:t>
      </w:r>
      <w:r w:rsidR="00794624">
        <w:rPr>
          <w:rFonts w:ascii="Arial" w:hAnsi="Arial"/>
          <w:b/>
          <w:sz w:val="32"/>
        </w:rPr>
        <w:t>4</w:t>
      </w:r>
      <w:r>
        <w:rPr>
          <w:rFonts w:ascii="Arial" w:hAnsi="Arial"/>
          <w:b/>
          <w:sz w:val="32"/>
        </w:rPr>
        <w:t xml:space="preserve"> Rider </w:t>
      </w:r>
      <w:r w:rsidR="00FC100D">
        <w:rPr>
          <w:rFonts w:ascii="Arial" w:hAnsi="Arial"/>
          <w:b/>
          <w:sz w:val="32"/>
        </w:rPr>
        <w:t xml:space="preserve">Distribution </w:t>
      </w:r>
      <w:r>
        <w:rPr>
          <w:rFonts w:ascii="Arial" w:hAnsi="Arial"/>
          <w:b/>
          <w:sz w:val="32"/>
        </w:rPr>
        <w:t>Cost Recovery Factor (</w:t>
      </w:r>
      <w:r w:rsidR="00FC100D">
        <w:rPr>
          <w:rFonts w:ascii="Arial" w:hAnsi="Arial"/>
          <w:b/>
          <w:sz w:val="32"/>
        </w:rPr>
        <w:t>DCRF</w:t>
      </w:r>
      <w:r>
        <w:rPr>
          <w:rFonts w:ascii="Arial" w:hAnsi="Arial"/>
          <w:b/>
          <w:sz w:val="32"/>
        </w:rPr>
        <w:t>)</w:t>
      </w:r>
    </w:p>
    <w:p w:rsidR="00FA0A8C" w14:paraId="635A4B71" w14:textId="77777777">
      <w:pPr>
        <w:tabs>
          <w:tab w:val="left" w:pos="600"/>
          <w:tab w:val="left" w:pos="1440"/>
          <w:tab w:val="left" w:pos="2040"/>
          <w:tab w:val="left" w:pos="3000"/>
          <w:tab w:val="left" w:pos="4320"/>
          <w:tab w:val="left" w:pos="5760"/>
          <w:tab w:val="left" w:pos="6720"/>
        </w:tabs>
        <w:spacing w:line="180" w:lineRule="auto"/>
        <w:rPr>
          <w:rFonts w:ascii="Arial" w:hAnsi="Arial"/>
          <w:b/>
          <w:color w:val="auto"/>
          <w:sz w:val="20"/>
          <w:shd w:val="clear" w:color="auto" w:fill="auto"/>
        </w:rPr>
      </w:pPr>
    </w:p>
    <w:p w:rsidR="00FA0A8C" w14:paraId="1A0D1A1A" w14:textId="77777777">
      <w:pPr>
        <w:pStyle w:val="BodyTextIndent"/>
        <w:ind w:firstLine="0"/>
        <w:rPr>
          <w:rFonts w:ascii="Arial" w:hAnsi="Arial"/>
          <w:b/>
          <w:color w:val="auto"/>
          <w:u w:val="single"/>
          <w:shd w:val="clear" w:color="auto" w:fill="auto"/>
        </w:rPr>
      </w:pPr>
      <w:r>
        <w:rPr>
          <w:rFonts w:ascii="Arial" w:hAnsi="Arial"/>
          <w:b/>
          <w:u w:val="single"/>
        </w:rPr>
        <w:t>APPLICABILITY</w:t>
      </w:r>
    </w:p>
    <w:p w:rsidR="00FA0A8C" w14:paraId="03AF0814" w14:textId="77777777">
      <w:pPr>
        <w:pStyle w:val="BodyTextIndent"/>
        <w:ind w:firstLine="0"/>
        <w:rPr>
          <w:rFonts w:ascii="Arial" w:hAnsi="Arial"/>
          <w:strike/>
          <w:color w:val="000000"/>
          <w:sz w:val="16"/>
          <w:shd w:val="clear" w:color="auto" w:fill="auto"/>
        </w:rPr>
      </w:pPr>
      <w:r>
        <w:rPr>
          <w:rFonts w:ascii="Arial" w:hAnsi="Arial"/>
          <w:sz w:val="20"/>
        </w:rPr>
        <w:t xml:space="preserve">Each Retail Customer connected to the Company’s transmission or distribution system will be assessed a </w:t>
      </w:r>
      <w:r>
        <w:rPr>
          <w:rFonts w:ascii="Arial" w:hAnsi="Arial"/>
          <w:sz w:val="20"/>
        </w:rPr>
        <w:t>nonbypassable</w:t>
      </w:r>
      <w:r>
        <w:rPr>
          <w:rFonts w:ascii="Arial" w:hAnsi="Arial"/>
          <w:sz w:val="20"/>
        </w:rPr>
        <w:t xml:space="preserve"> </w:t>
      </w:r>
      <w:r w:rsidR="00FC100D">
        <w:rPr>
          <w:rFonts w:ascii="Arial" w:hAnsi="Arial"/>
          <w:sz w:val="20"/>
        </w:rPr>
        <w:t xml:space="preserve">distribution </w:t>
      </w:r>
      <w:r>
        <w:rPr>
          <w:rFonts w:ascii="Arial" w:hAnsi="Arial"/>
          <w:sz w:val="20"/>
        </w:rPr>
        <w:t>service charge adjustment pursuant to this rider.</w:t>
      </w:r>
      <w:r>
        <w:rPr>
          <w:rFonts w:ascii="Helv" w:hAnsi="Helv"/>
          <w:b/>
          <w:color w:val="000000"/>
        </w:rPr>
        <w:t xml:space="preserve"> </w:t>
      </w:r>
      <w:r>
        <w:rPr>
          <w:rFonts w:ascii="Arial" w:hAnsi="Arial"/>
          <w:color w:val="000000"/>
          <w:sz w:val="20"/>
        </w:rPr>
        <w:t xml:space="preserve">The charges derived herein, pursuant to </w:t>
      </w:r>
      <w:r>
        <w:rPr>
          <w:rFonts w:ascii="Arial" w:hAnsi="Arial"/>
          <w:sz w:val="20"/>
        </w:rPr>
        <w:t xml:space="preserve">Substantive Rule </w:t>
      </w:r>
      <w:r>
        <w:rPr>
          <w:rFonts w:ascii="Arial" w:hAnsi="Arial" w:cs="Arial"/>
          <w:sz w:val="20"/>
        </w:rPr>
        <w:t xml:space="preserve">§ </w:t>
      </w:r>
      <w:r>
        <w:rPr>
          <w:rFonts w:ascii="Arial" w:hAnsi="Arial"/>
          <w:color w:val="000000"/>
          <w:sz w:val="20"/>
        </w:rPr>
        <w:t>25.</w:t>
      </w:r>
      <w:r w:rsidR="00FC100D">
        <w:rPr>
          <w:rFonts w:ascii="Arial" w:hAnsi="Arial"/>
          <w:color w:val="000000"/>
          <w:sz w:val="20"/>
        </w:rPr>
        <w:t>243</w:t>
      </w:r>
      <w:r>
        <w:rPr>
          <w:rFonts w:ascii="Arial" w:hAnsi="Arial"/>
          <w:color w:val="000000"/>
          <w:sz w:val="20"/>
        </w:rPr>
        <w:t xml:space="preserve">, are necessitated by </w:t>
      </w:r>
      <w:r w:rsidR="00FD1B60">
        <w:rPr>
          <w:rFonts w:ascii="Arial" w:hAnsi="Arial"/>
          <w:color w:val="000000"/>
          <w:sz w:val="20"/>
        </w:rPr>
        <w:t>i</w:t>
      </w:r>
      <w:r w:rsidR="00FC100D">
        <w:rPr>
          <w:rFonts w:ascii="Arial" w:hAnsi="Arial"/>
          <w:color w:val="000000"/>
          <w:sz w:val="20"/>
        </w:rPr>
        <w:t>ncremental distribution costs not included in the Company’s last general rate case proceeding before the Commission.</w:t>
      </w:r>
    </w:p>
    <w:p w:rsidR="00FA0A8C" w14:paraId="6CD59651" w14:textId="77777777">
      <w:pPr>
        <w:pStyle w:val="BodyTextIndent"/>
        <w:spacing w:line="180" w:lineRule="auto"/>
        <w:ind w:firstLine="0"/>
        <w:rPr>
          <w:rFonts w:ascii="Arial" w:hAnsi="Arial"/>
          <w:strike/>
          <w:color w:val="000000"/>
          <w:sz w:val="16"/>
          <w:shd w:val="clear" w:color="auto" w:fill="auto"/>
        </w:rPr>
      </w:pPr>
    </w:p>
    <w:p w:rsidR="00FA0A8C" w14:paraId="58F4A453" w14:textId="77777777">
      <w:pPr>
        <w:pStyle w:val="BodyTextIndent"/>
        <w:ind w:firstLine="0"/>
        <w:rPr>
          <w:rFonts w:ascii="Arial" w:hAnsi="Arial"/>
          <w:b/>
          <w:color w:val="auto"/>
          <w:sz w:val="16"/>
          <w:u w:val="single"/>
          <w:shd w:val="clear" w:color="auto" w:fill="auto"/>
        </w:rPr>
      </w:pPr>
      <w:r>
        <w:rPr>
          <w:rFonts w:ascii="Arial" w:hAnsi="Arial"/>
          <w:b/>
          <w:u w:val="single"/>
        </w:rPr>
        <w:t>MONTHLY RATE</w:t>
      </w:r>
    </w:p>
    <w:p w:rsidR="00FA0A8C" w14:paraId="3C50EA94" w14:textId="77777777">
      <w:pPr>
        <w:pStyle w:val="BodyTextIndent"/>
        <w:ind w:firstLine="0"/>
        <w:rPr>
          <w:rFonts w:ascii="Arial" w:hAnsi="Arial"/>
          <w:color w:val="auto"/>
          <w:sz w:val="20"/>
          <w:shd w:val="clear" w:color="auto" w:fill="auto"/>
        </w:rPr>
      </w:pPr>
      <w:r>
        <w:rPr>
          <w:rFonts w:ascii="Arial" w:hAnsi="Arial"/>
          <w:sz w:val="20"/>
        </w:rPr>
        <w:t xml:space="preserve">The Competitive Retailer, on behalf of the Retail Customer, will be assessed this </w:t>
      </w:r>
      <w:r w:rsidR="007C1D0C">
        <w:rPr>
          <w:rFonts w:ascii="Arial" w:hAnsi="Arial"/>
          <w:sz w:val="20"/>
        </w:rPr>
        <w:t>distribution</w:t>
      </w:r>
      <w:r>
        <w:rPr>
          <w:rFonts w:ascii="Arial" w:hAnsi="Arial"/>
          <w:sz w:val="20"/>
        </w:rPr>
        <w:t xml:space="preserve"> service charge adjustment based on the monthly per unit cost (</w:t>
      </w:r>
      <w:r w:rsidR="007C1D0C">
        <w:rPr>
          <w:rFonts w:ascii="Arial" w:hAnsi="Arial"/>
          <w:sz w:val="20"/>
        </w:rPr>
        <w:t>D</w:t>
      </w:r>
      <w:r>
        <w:rPr>
          <w:rFonts w:ascii="Arial" w:hAnsi="Arial"/>
          <w:sz w:val="20"/>
        </w:rPr>
        <w:t xml:space="preserve">CRF) multiplied times the Retail Customer’s appropriate monthly billing determinant (kWh or </w:t>
      </w:r>
      <w:r w:rsidR="007C1D0C">
        <w:rPr>
          <w:rFonts w:ascii="Arial" w:hAnsi="Arial"/>
          <w:sz w:val="20"/>
        </w:rPr>
        <w:t>Billing</w:t>
      </w:r>
      <w:r>
        <w:rPr>
          <w:rFonts w:ascii="Arial" w:hAnsi="Arial"/>
          <w:sz w:val="20"/>
        </w:rPr>
        <w:t xml:space="preserve"> kW). </w:t>
      </w:r>
    </w:p>
    <w:p w:rsidR="00FA0A8C" w14:paraId="07441539" w14:textId="77777777">
      <w:pPr>
        <w:pStyle w:val="BodyTextIndent"/>
        <w:spacing w:line="180" w:lineRule="auto"/>
        <w:ind w:firstLine="0"/>
        <w:rPr>
          <w:rFonts w:ascii="Arial" w:hAnsi="Arial"/>
          <w:color w:val="auto"/>
          <w:sz w:val="20"/>
          <w:shd w:val="clear" w:color="auto" w:fill="auto"/>
        </w:rPr>
      </w:pPr>
    </w:p>
    <w:p w:rsidR="00FA0A8C" w14:paraId="59EEDCEF" w14:textId="77777777">
      <w:pPr>
        <w:pStyle w:val="BodyTextIndent"/>
        <w:ind w:firstLine="0"/>
        <w:rPr>
          <w:rFonts w:ascii="Arial" w:hAnsi="Arial"/>
          <w:color w:val="auto"/>
          <w:sz w:val="20"/>
          <w:shd w:val="clear" w:color="auto" w:fill="auto"/>
        </w:rPr>
      </w:pPr>
      <w:r>
        <w:rPr>
          <w:rFonts w:ascii="Arial" w:hAnsi="Arial"/>
          <w:sz w:val="20"/>
        </w:rPr>
        <w:t xml:space="preserve">The </w:t>
      </w:r>
      <w:r w:rsidR="007C1D0C">
        <w:rPr>
          <w:rFonts w:ascii="Arial" w:hAnsi="Arial"/>
          <w:sz w:val="20"/>
        </w:rPr>
        <w:t>D</w:t>
      </w:r>
      <w:r>
        <w:rPr>
          <w:rFonts w:ascii="Arial" w:hAnsi="Arial"/>
          <w:sz w:val="20"/>
        </w:rPr>
        <w:t>CRF shall be calculated for each rate according to the following formula:</w:t>
      </w:r>
    </w:p>
    <w:p w:rsidR="00A63087" w14:paraId="3B9EA3A0" w14:textId="77777777">
      <w:pPr>
        <w:pStyle w:val="BodyTextIndent"/>
        <w:ind w:right="-270" w:firstLine="0"/>
        <w:rPr>
          <w:rFonts w:ascii="Arial" w:hAnsi="Arial"/>
          <w:color w:val="auto"/>
          <w:sz w:val="20"/>
          <w:shd w:val="clear" w:color="auto" w:fill="auto"/>
        </w:rPr>
      </w:pPr>
    </w:p>
    <w:p w:rsidR="00A63087" w14:paraId="4FF8130E" w14:textId="77777777">
      <w:pPr>
        <w:pStyle w:val="BodyTextIndent"/>
        <w:ind w:right="-270" w:firstLine="0"/>
        <w:rPr>
          <w:rFonts w:ascii="Arial" w:hAnsi="Arial"/>
          <w:color w:val="auto"/>
          <w:sz w:val="20"/>
          <w:shd w:val="clear" w:color="auto" w:fill="auto"/>
        </w:rPr>
      </w:pPr>
    </w:p>
    <w:p w:rsidR="00A63087" w:rsidRPr="004C4BD4" w:rsidP="00A63087" w14:paraId="7AFFE96F" w14:textId="77777777">
      <w:pPr>
        <w:ind w:left="1440" w:hanging="1440"/>
        <w:rPr>
          <w:color w:val="auto"/>
          <w:szCs w:val="24"/>
          <w:shd w:val="clear" w:color="auto" w:fill="auto"/>
        </w:rPr>
      </w:pPr>
      <w:r>
        <w:rPr>
          <w:szCs w:val="24"/>
        </w:rPr>
        <w:t>DCRF =</w:t>
      </w:r>
      <w:r>
        <w:rPr>
          <w:szCs w:val="24"/>
        </w:rPr>
        <w:tab/>
      </w:r>
      <w:r w:rsidRPr="004C4BD4">
        <w:rPr>
          <w:szCs w:val="24"/>
        </w:rPr>
        <w:t>[((DIC</w:t>
      </w:r>
      <w:r w:rsidRPr="004C4BD4">
        <w:rPr>
          <w:szCs w:val="24"/>
          <w:vertAlign w:val="subscript"/>
        </w:rPr>
        <w:t>C</w:t>
      </w:r>
      <w:r w:rsidRPr="004C4BD4">
        <w:rPr>
          <w:szCs w:val="24"/>
        </w:rPr>
        <w:t xml:space="preserve"> – DIC</w:t>
      </w:r>
      <w:r w:rsidRPr="004C4BD4">
        <w:rPr>
          <w:szCs w:val="24"/>
          <w:vertAlign w:val="subscript"/>
        </w:rPr>
        <w:t>RC</w:t>
      </w:r>
      <w:r w:rsidRPr="004C4BD4">
        <w:rPr>
          <w:szCs w:val="24"/>
        </w:rPr>
        <w:t>) * ROR</w:t>
      </w:r>
      <w:r w:rsidRPr="004C4BD4">
        <w:rPr>
          <w:szCs w:val="24"/>
          <w:vertAlign w:val="subscript"/>
        </w:rPr>
        <w:t>AT</w:t>
      </w:r>
      <w:r w:rsidRPr="004C4BD4">
        <w:rPr>
          <w:szCs w:val="24"/>
        </w:rPr>
        <w:t>) + (DEPR</w:t>
      </w:r>
      <w:r w:rsidRPr="004C4BD4">
        <w:rPr>
          <w:szCs w:val="24"/>
          <w:vertAlign w:val="subscript"/>
        </w:rPr>
        <w:t>C</w:t>
      </w:r>
      <w:r w:rsidRPr="004C4BD4">
        <w:rPr>
          <w:szCs w:val="24"/>
        </w:rPr>
        <w:t xml:space="preserve"> – DEPR</w:t>
      </w:r>
      <w:r w:rsidRPr="004C4BD4">
        <w:rPr>
          <w:szCs w:val="24"/>
          <w:vertAlign w:val="subscript"/>
        </w:rPr>
        <w:t>RC</w:t>
      </w:r>
      <w:r w:rsidRPr="004C4BD4">
        <w:rPr>
          <w:szCs w:val="24"/>
        </w:rPr>
        <w:t>) + (FIT</w:t>
      </w:r>
      <w:r w:rsidRPr="004C4BD4">
        <w:rPr>
          <w:szCs w:val="24"/>
          <w:vertAlign w:val="subscript"/>
        </w:rPr>
        <w:t xml:space="preserve">C </w:t>
      </w:r>
      <w:r w:rsidRPr="004C4BD4">
        <w:rPr>
          <w:szCs w:val="24"/>
        </w:rPr>
        <w:t>– FIT</w:t>
      </w:r>
      <w:r w:rsidRPr="004C4BD4">
        <w:rPr>
          <w:szCs w:val="24"/>
          <w:vertAlign w:val="subscript"/>
        </w:rPr>
        <w:t>RC</w:t>
      </w:r>
      <w:r w:rsidRPr="004C4BD4">
        <w:rPr>
          <w:szCs w:val="24"/>
        </w:rPr>
        <w:t>) + (OT</w:t>
      </w:r>
      <w:r w:rsidRPr="004C4BD4">
        <w:rPr>
          <w:szCs w:val="24"/>
          <w:vertAlign w:val="subscript"/>
        </w:rPr>
        <w:t>C</w:t>
      </w:r>
      <w:r w:rsidRPr="004C4BD4">
        <w:rPr>
          <w:szCs w:val="24"/>
        </w:rPr>
        <w:t xml:space="preserve"> – OT</w:t>
      </w:r>
      <w:r w:rsidRPr="004C4BD4">
        <w:rPr>
          <w:szCs w:val="24"/>
          <w:vertAlign w:val="subscript"/>
        </w:rPr>
        <w:t>RC</w:t>
      </w:r>
      <w:r w:rsidRPr="004C4BD4">
        <w:rPr>
          <w:szCs w:val="24"/>
        </w:rPr>
        <w:t xml:space="preserve">) - </w:t>
      </w:r>
      <w:r w:rsidRPr="004C4BD4">
        <w:rPr>
          <w:szCs w:val="24"/>
        </w:rPr>
        <w:t>∑(</w:t>
      </w:r>
      <w:r w:rsidRPr="004C4BD4">
        <w:rPr>
          <w:szCs w:val="24"/>
        </w:rPr>
        <w:t>DISTREV</w:t>
      </w:r>
      <w:r w:rsidRPr="004C4BD4">
        <w:rPr>
          <w:szCs w:val="24"/>
          <w:vertAlign w:val="subscript"/>
        </w:rPr>
        <w:t>RC-CLASS</w:t>
      </w:r>
      <w:r w:rsidRPr="004C4BD4">
        <w:rPr>
          <w:szCs w:val="24"/>
        </w:rPr>
        <w:t xml:space="preserve"> * %GROWTH</w:t>
      </w:r>
      <w:r w:rsidRPr="004C4BD4">
        <w:rPr>
          <w:szCs w:val="24"/>
          <w:vertAlign w:val="subscript"/>
        </w:rPr>
        <w:t>CLASS</w:t>
      </w:r>
      <w:r w:rsidRPr="004C4BD4">
        <w:rPr>
          <w:szCs w:val="24"/>
        </w:rPr>
        <w:t>)] * ALLOC</w:t>
      </w:r>
      <w:r w:rsidRPr="004C4BD4">
        <w:rPr>
          <w:szCs w:val="24"/>
          <w:vertAlign w:val="subscript"/>
        </w:rPr>
        <w:t>CLASS</w:t>
      </w:r>
      <w:r w:rsidRPr="004C4BD4">
        <w:rPr>
          <w:szCs w:val="24"/>
        </w:rPr>
        <w:t xml:space="preserve"> / BD</w:t>
      </w:r>
      <w:r w:rsidRPr="004C4BD4">
        <w:rPr>
          <w:szCs w:val="24"/>
          <w:vertAlign w:val="subscript"/>
        </w:rPr>
        <w:t>C-CLASS</w:t>
      </w:r>
    </w:p>
    <w:p w:rsidR="00A63087" w14:paraId="46AB3000" w14:textId="77777777">
      <w:pPr>
        <w:pStyle w:val="BodyTextIndent"/>
        <w:ind w:right="-270" w:firstLine="0"/>
        <w:rPr>
          <w:rFonts w:ascii="Arial" w:hAnsi="Arial"/>
          <w:color w:val="auto"/>
          <w:sz w:val="20"/>
          <w:shd w:val="clear" w:color="auto" w:fill="auto"/>
        </w:rPr>
      </w:pPr>
    </w:p>
    <w:p w:rsidR="00A63087" w14:paraId="305D4066" w14:textId="77777777">
      <w:pPr>
        <w:pStyle w:val="BodyTextIndent"/>
        <w:ind w:right="-270" w:firstLine="0"/>
        <w:rPr>
          <w:rFonts w:ascii="Arial" w:hAnsi="Arial"/>
          <w:color w:val="auto"/>
          <w:sz w:val="20"/>
          <w:shd w:val="clear" w:color="auto" w:fill="auto"/>
        </w:rPr>
      </w:pPr>
    </w:p>
    <w:p w:rsidR="00FA0A8C" w14:paraId="047C5F14" w14:textId="77777777">
      <w:pPr>
        <w:pStyle w:val="BodyTextIndent"/>
        <w:ind w:right="-270" w:firstLine="0"/>
        <w:rPr>
          <w:rFonts w:ascii="Arial" w:hAnsi="Arial"/>
          <w:color w:val="auto"/>
          <w:sz w:val="20"/>
          <w:shd w:val="clear" w:color="auto" w:fill="auto"/>
        </w:rPr>
      </w:pPr>
      <w:r>
        <w:rPr>
          <w:rFonts w:ascii="Arial" w:hAnsi="Arial"/>
          <w:sz w:val="20"/>
        </w:rPr>
        <w:t>rounded to nearest $.000001</w:t>
      </w:r>
    </w:p>
    <w:p w:rsidR="00CD0B5F" w14:paraId="32582376" w14:textId="77777777">
      <w:pPr>
        <w:pStyle w:val="BodyTextIndent"/>
        <w:ind w:right="-270" w:firstLine="0"/>
        <w:rPr>
          <w:rFonts w:ascii="Arial" w:hAnsi="Arial"/>
          <w:color w:val="auto"/>
          <w:sz w:val="20"/>
          <w:shd w:val="clear" w:color="auto" w:fill="auto"/>
        </w:rPr>
      </w:pPr>
    </w:p>
    <w:p w:rsidR="00FA0A8C" w14:paraId="7A552B3F" w14:textId="77777777">
      <w:pPr>
        <w:tabs>
          <w:tab w:val="left" w:pos="600"/>
          <w:tab w:val="left" w:pos="1440"/>
          <w:tab w:val="left" w:pos="2040"/>
          <w:tab w:val="left" w:pos="3000"/>
          <w:tab w:val="left" w:pos="4320"/>
          <w:tab w:val="left" w:pos="5760"/>
          <w:tab w:val="left" w:pos="6720"/>
        </w:tabs>
        <w:spacing w:line="180" w:lineRule="auto"/>
        <w:jc w:val="both"/>
        <w:rPr>
          <w:rFonts w:ascii="Arial" w:hAnsi="Arial"/>
          <w:color w:val="auto"/>
          <w:sz w:val="20"/>
          <w:shd w:val="clear" w:color="auto" w:fill="auto"/>
        </w:rPr>
      </w:pPr>
    </w:p>
    <w:p w:rsidR="00FA0A8C" w14:paraId="306917BC" w14:textId="77777777">
      <w:pPr>
        <w:tabs>
          <w:tab w:val="left" w:pos="600"/>
          <w:tab w:val="left" w:pos="1440"/>
          <w:tab w:val="left" w:pos="2040"/>
          <w:tab w:val="left" w:pos="3000"/>
          <w:tab w:val="left" w:pos="4320"/>
          <w:tab w:val="left" w:pos="5760"/>
          <w:tab w:val="left" w:pos="6720"/>
        </w:tabs>
        <w:jc w:val="both"/>
        <w:rPr>
          <w:rFonts w:ascii="Arial" w:hAnsi="Arial"/>
          <w:color w:val="auto"/>
          <w:sz w:val="20"/>
          <w:shd w:val="clear" w:color="auto" w:fill="auto"/>
        </w:rPr>
      </w:pPr>
    </w:p>
    <w:p w:rsidR="00FA0A8C" w:rsidP="00580E11" w14:paraId="4AC046E9" w14:textId="77777777">
      <w:pPr>
        <w:tabs>
          <w:tab w:val="left" w:pos="600"/>
          <w:tab w:val="left" w:pos="1440"/>
          <w:tab w:val="left" w:pos="2040"/>
          <w:tab w:val="left" w:pos="3000"/>
          <w:tab w:val="left" w:pos="4320"/>
          <w:tab w:val="left" w:pos="5760"/>
          <w:tab w:val="left" w:pos="6720"/>
        </w:tabs>
        <w:jc w:val="both"/>
        <w:rPr>
          <w:rFonts w:ascii="Arial" w:hAnsi="Arial"/>
          <w:color w:val="auto"/>
          <w:sz w:val="20"/>
          <w:shd w:val="clear" w:color="auto" w:fill="auto"/>
        </w:rPr>
      </w:pPr>
      <w:r>
        <w:rPr>
          <w:rFonts w:ascii="Arial" w:hAnsi="Arial"/>
          <w:sz w:val="20"/>
        </w:rPr>
        <w:t>Where:</w:t>
      </w:r>
    </w:p>
    <w:p w:rsidR="00FA0A8C" w:rsidP="00580E11" w14:paraId="4D6D3AA6" w14:textId="77777777">
      <w:pPr>
        <w:tabs>
          <w:tab w:val="left" w:pos="600"/>
          <w:tab w:val="left" w:pos="1440"/>
          <w:tab w:val="left" w:pos="2040"/>
          <w:tab w:val="left" w:pos="3000"/>
          <w:tab w:val="left" w:pos="4320"/>
          <w:tab w:val="left" w:pos="5760"/>
          <w:tab w:val="left" w:pos="6720"/>
        </w:tabs>
        <w:jc w:val="both"/>
        <w:rPr>
          <w:rFonts w:ascii="Arial" w:hAnsi="Arial"/>
          <w:color w:val="auto"/>
          <w:sz w:val="20"/>
          <w:shd w:val="clear" w:color="auto" w:fill="auto"/>
        </w:rPr>
      </w:pPr>
    </w:p>
    <w:p w:rsidR="00FA0A8C" w:rsidP="00580E11" w14:paraId="726FE29F" w14:textId="77777777">
      <w:pPr>
        <w:tabs>
          <w:tab w:val="left" w:pos="600"/>
          <w:tab w:val="left" w:pos="1440"/>
          <w:tab w:val="left" w:pos="2040"/>
          <w:tab w:val="left" w:pos="3000"/>
          <w:tab w:val="left" w:pos="4320"/>
          <w:tab w:val="left" w:pos="5760"/>
          <w:tab w:val="left" w:pos="6720"/>
        </w:tabs>
        <w:jc w:val="both"/>
        <w:rPr>
          <w:rFonts w:ascii="Arial" w:hAnsi="Arial"/>
          <w:color w:val="auto"/>
          <w:sz w:val="20"/>
          <w:shd w:val="clear" w:color="auto" w:fill="auto"/>
        </w:rPr>
      </w:pPr>
      <w:r>
        <w:rPr>
          <w:rFonts w:ascii="Arial" w:hAnsi="Arial"/>
          <w:sz w:val="20"/>
        </w:rPr>
        <w:tab/>
        <w:t>DIC</w:t>
      </w:r>
      <w:r>
        <w:rPr>
          <w:rFonts w:ascii="Arial" w:hAnsi="Arial"/>
          <w:sz w:val="20"/>
          <w:vertAlign w:val="subscript"/>
        </w:rPr>
        <w:t>C</w:t>
      </w:r>
      <w:r>
        <w:rPr>
          <w:rFonts w:ascii="Arial" w:hAnsi="Arial"/>
          <w:sz w:val="20"/>
        </w:rPr>
        <w:tab/>
        <w:t>=</w:t>
      </w:r>
      <w:r>
        <w:rPr>
          <w:rFonts w:ascii="Arial" w:hAnsi="Arial"/>
          <w:sz w:val="20"/>
        </w:rPr>
        <w:tab/>
        <w:t>Current Net Distribution Invested Capital</w:t>
      </w:r>
    </w:p>
    <w:p w:rsidR="00694E1C" w:rsidP="00580E11" w14:paraId="4955D251" w14:textId="77777777">
      <w:pPr>
        <w:tabs>
          <w:tab w:val="left" w:pos="600"/>
          <w:tab w:val="left" w:pos="1440"/>
          <w:tab w:val="left" w:pos="2040"/>
          <w:tab w:val="left" w:pos="3000"/>
          <w:tab w:val="left" w:pos="4320"/>
          <w:tab w:val="left" w:pos="5760"/>
          <w:tab w:val="left" w:pos="6720"/>
        </w:tabs>
        <w:jc w:val="both"/>
        <w:rPr>
          <w:rFonts w:ascii="Arial" w:hAnsi="Arial"/>
          <w:color w:val="auto"/>
          <w:sz w:val="20"/>
          <w:shd w:val="clear" w:color="auto" w:fill="auto"/>
        </w:rPr>
      </w:pPr>
    </w:p>
    <w:p w:rsidR="00694E1C" w:rsidP="00580E11" w14:paraId="7C723E45"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r>
        <w:rPr>
          <w:rFonts w:ascii="Arial" w:hAnsi="Arial"/>
          <w:sz w:val="20"/>
        </w:rPr>
        <w:t>DIC</w:t>
      </w:r>
      <w:r>
        <w:rPr>
          <w:rFonts w:ascii="Arial" w:hAnsi="Arial"/>
          <w:sz w:val="20"/>
          <w:vertAlign w:val="subscript"/>
        </w:rPr>
        <w:t>RC</w:t>
      </w:r>
      <w:r>
        <w:rPr>
          <w:rFonts w:ascii="Arial" w:hAnsi="Arial"/>
          <w:sz w:val="20"/>
        </w:rPr>
        <w:tab/>
        <w:t>=</w:t>
      </w:r>
      <w:r>
        <w:rPr>
          <w:rFonts w:ascii="Arial" w:hAnsi="Arial"/>
          <w:sz w:val="20"/>
        </w:rPr>
        <w:tab/>
        <w:t>Net Distribution Invested Capital from the last comprehensive base-rate proceeding.</w:t>
      </w:r>
    </w:p>
    <w:p w:rsidR="00694E1C" w:rsidP="00580E11" w14:paraId="45CBDCE5"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p>
    <w:p w:rsidR="00694E1C" w:rsidP="00580E11" w14:paraId="38E61289" w14:textId="77777777">
      <w:pPr>
        <w:tabs>
          <w:tab w:val="left" w:pos="600"/>
          <w:tab w:val="left" w:pos="1440"/>
          <w:tab w:val="left" w:pos="2040"/>
          <w:tab w:val="left" w:pos="3000"/>
          <w:tab w:val="left" w:pos="4320"/>
          <w:tab w:val="left" w:pos="5760"/>
          <w:tab w:val="left" w:pos="6720"/>
        </w:tabs>
        <w:jc w:val="both"/>
        <w:rPr>
          <w:rFonts w:ascii="Arial" w:hAnsi="Arial"/>
          <w:color w:val="auto"/>
          <w:sz w:val="20"/>
          <w:shd w:val="clear" w:color="auto" w:fill="auto"/>
        </w:rPr>
      </w:pPr>
      <w:r>
        <w:rPr>
          <w:rFonts w:ascii="Arial" w:hAnsi="Arial"/>
          <w:sz w:val="20"/>
          <w:vertAlign w:val="subscript"/>
        </w:rPr>
        <w:tab/>
      </w:r>
      <w:r>
        <w:rPr>
          <w:rFonts w:ascii="Arial" w:hAnsi="Arial"/>
          <w:sz w:val="20"/>
        </w:rPr>
        <w:t>ROR</w:t>
      </w:r>
      <w:r>
        <w:rPr>
          <w:rFonts w:ascii="Arial" w:hAnsi="Arial"/>
          <w:sz w:val="20"/>
          <w:vertAlign w:val="subscript"/>
        </w:rPr>
        <w:t>AT</w:t>
      </w:r>
      <w:r>
        <w:rPr>
          <w:rFonts w:ascii="Arial" w:hAnsi="Arial"/>
          <w:sz w:val="20"/>
        </w:rPr>
        <w:tab/>
        <w:t>=</w:t>
      </w:r>
      <w:r>
        <w:rPr>
          <w:rFonts w:ascii="Arial" w:hAnsi="Arial"/>
          <w:sz w:val="20"/>
        </w:rPr>
        <w:tab/>
        <w:t xml:space="preserve">After-Tax Rate of Return as defined in Substantive Rule </w:t>
      </w:r>
      <w:r>
        <w:rPr>
          <w:rFonts w:ascii="Arial" w:hAnsi="Arial" w:cs="Arial"/>
          <w:sz w:val="20"/>
        </w:rPr>
        <w:t xml:space="preserve">§ </w:t>
      </w:r>
      <w:r>
        <w:rPr>
          <w:rFonts w:ascii="Arial" w:hAnsi="Arial"/>
          <w:sz w:val="20"/>
        </w:rPr>
        <w:t>25.243(d)(2).</w:t>
      </w:r>
    </w:p>
    <w:p w:rsidR="00694E1C" w:rsidP="00580E11" w14:paraId="6D61E756" w14:textId="77777777">
      <w:pPr>
        <w:tabs>
          <w:tab w:val="left" w:pos="600"/>
          <w:tab w:val="left" w:pos="1440"/>
          <w:tab w:val="left" w:pos="2040"/>
          <w:tab w:val="left" w:pos="3000"/>
          <w:tab w:val="left" w:pos="4320"/>
          <w:tab w:val="left" w:pos="5760"/>
          <w:tab w:val="left" w:pos="6720"/>
        </w:tabs>
        <w:jc w:val="both"/>
        <w:rPr>
          <w:rFonts w:ascii="Arial" w:hAnsi="Arial"/>
          <w:color w:val="auto"/>
          <w:sz w:val="20"/>
          <w:shd w:val="clear" w:color="auto" w:fill="auto"/>
        </w:rPr>
      </w:pPr>
    </w:p>
    <w:p w:rsidR="00694E1C" w:rsidP="00580E11" w14:paraId="5FF4B8B7"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r>
        <w:rPr>
          <w:rFonts w:ascii="Arial" w:hAnsi="Arial"/>
          <w:sz w:val="20"/>
        </w:rPr>
        <w:t>DEPR</w:t>
      </w:r>
      <w:r>
        <w:rPr>
          <w:rFonts w:ascii="Arial" w:hAnsi="Arial"/>
          <w:sz w:val="20"/>
          <w:vertAlign w:val="subscript"/>
        </w:rPr>
        <w:t>C</w:t>
      </w:r>
      <w:r>
        <w:rPr>
          <w:rFonts w:ascii="Arial" w:hAnsi="Arial"/>
          <w:sz w:val="20"/>
        </w:rPr>
        <w:tab/>
        <w:t>=</w:t>
      </w:r>
      <w:r>
        <w:rPr>
          <w:rFonts w:ascii="Arial" w:hAnsi="Arial"/>
          <w:sz w:val="20"/>
        </w:rPr>
        <w:tab/>
        <w:t>Current Depreciation Expense, as related to Current Gross Distribution Invested Capital, calculated using the currently approved depreciation rates.</w:t>
      </w:r>
    </w:p>
    <w:p w:rsidR="00694E1C" w:rsidP="00580E11" w14:paraId="4A5F22AA"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p>
    <w:p w:rsidR="00694E1C" w:rsidP="00580E11" w14:paraId="3EC1B9F6"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r>
        <w:rPr>
          <w:rFonts w:ascii="Arial" w:hAnsi="Arial"/>
          <w:sz w:val="20"/>
        </w:rPr>
        <w:t>DEPR</w:t>
      </w:r>
      <w:r>
        <w:rPr>
          <w:rFonts w:ascii="Arial" w:hAnsi="Arial"/>
          <w:sz w:val="20"/>
          <w:vertAlign w:val="subscript"/>
        </w:rPr>
        <w:t>RC</w:t>
      </w:r>
      <w:r>
        <w:rPr>
          <w:rFonts w:ascii="Arial" w:hAnsi="Arial"/>
          <w:sz w:val="20"/>
        </w:rPr>
        <w:tab/>
        <w:t>=</w:t>
      </w:r>
      <w:r>
        <w:rPr>
          <w:rFonts w:ascii="Arial" w:hAnsi="Arial"/>
          <w:sz w:val="20"/>
        </w:rPr>
        <w:tab/>
        <w:t>Depreciation Expense, as related to Gross Distribution Invested Capital, from the last comprehensive base-rate proceeding.</w:t>
      </w:r>
    </w:p>
    <w:p w:rsidR="00694E1C" w:rsidP="00580E11" w14:paraId="2907E2EB"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p>
    <w:p w:rsidR="00694E1C" w:rsidP="00580E11" w14:paraId="2E990EF7"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r>
        <w:rPr>
          <w:rFonts w:ascii="Arial" w:hAnsi="Arial"/>
          <w:sz w:val="20"/>
        </w:rPr>
        <w:t>FIT</w:t>
      </w:r>
      <w:r>
        <w:rPr>
          <w:rFonts w:ascii="Arial" w:hAnsi="Arial"/>
          <w:sz w:val="20"/>
          <w:vertAlign w:val="subscript"/>
        </w:rPr>
        <w:t>c</w:t>
      </w:r>
      <w:r>
        <w:rPr>
          <w:rFonts w:ascii="Arial" w:hAnsi="Arial"/>
          <w:sz w:val="20"/>
        </w:rPr>
        <w:tab/>
        <w:t>=</w:t>
      </w:r>
      <w:r>
        <w:rPr>
          <w:rFonts w:ascii="Arial" w:hAnsi="Arial"/>
          <w:sz w:val="20"/>
        </w:rPr>
        <w:tab/>
        <w:t>Current Federal Income Tax, as related to Current Net Distribution Invested Capital, including the change in federal income taxes related to the change in return on rate base and synchronization of interest associated with the change in rate base resulting from additions to and retirements of distribution plant as used to compute Net Distribution Invested Capital.</w:t>
      </w:r>
    </w:p>
    <w:p w:rsidR="00694E1C" w:rsidP="00580E11" w14:paraId="40DFD90C"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p>
    <w:p w:rsidR="00694E1C" w:rsidP="00580E11" w14:paraId="6696677D"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r>
        <w:rPr>
          <w:rFonts w:ascii="Arial" w:hAnsi="Arial"/>
          <w:sz w:val="20"/>
        </w:rPr>
        <w:t>FIT</w:t>
      </w:r>
      <w:r w:rsidR="005E2B6B">
        <w:rPr>
          <w:rFonts w:ascii="Arial" w:hAnsi="Arial"/>
          <w:sz w:val="20"/>
          <w:vertAlign w:val="subscript"/>
        </w:rPr>
        <w:t>RC</w:t>
      </w:r>
      <w:r w:rsidR="005E2B6B">
        <w:rPr>
          <w:rFonts w:ascii="Arial" w:hAnsi="Arial"/>
          <w:sz w:val="20"/>
        </w:rPr>
        <w:tab/>
        <w:t>=</w:t>
      </w:r>
      <w:r w:rsidR="005E2B6B">
        <w:rPr>
          <w:rFonts w:ascii="Arial" w:hAnsi="Arial"/>
          <w:sz w:val="20"/>
        </w:rPr>
        <w:tab/>
        <w:t>Federal Income Tax, as related to Net Distribution Invested Capital from the last comprehensive base-rate proceeding.</w:t>
      </w:r>
    </w:p>
    <w:p w:rsidR="005E2B6B" w:rsidP="00580E11" w14:paraId="330D2737"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p>
    <w:p w:rsidR="005E2B6B" w:rsidP="00580E11" w14:paraId="1AA625AD"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r>
        <w:rPr>
          <w:rFonts w:ascii="Arial" w:hAnsi="Arial"/>
          <w:sz w:val="20"/>
        </w:rPr>
        <w:t>OT</w:t>
      </w:r>
      <w:r>
        <w:rPr>
          <w:rFonts w:ascii="Arial" w:hAnsi="Arial"/>
          <w:sz w:val="20"/>
          <w:vertAlign w:val="subscript"/>
        </w:rPr>
        <w:t>C</w:t>
      </w:r>
      <w:r>
        <w:rPr>
          <w:rFonts w:ascii="Arial" w:hAnsi="Arial"/>
          <w:sz w:val="20"/>
        </w:rPr>
        <w:tab/>
        <w:t>=</w:t>
      </w:r>
      <w:r>
        <w:rPr>
          <w:rFonts w:ascii="Arial" w:hAnsi="Arial"/>
          <w:sz w:val="20"/>
        </w:rPr>
        <w:tab/>
      </w:r>
      <w:r>
        <w:rPr>
          <w:rFonts w:ascii="Arial" w:hAnsi="Arial"/>
          <w:sz w:val="20"/>
        </w:rPr>
        <w:t>Current  Other</w:t>
      </w:r>
      <w:r>
        <w:rPr>
          <w:rFonts w:ascii="Arial" w:hAnsi="Arial"/>
          <w:sz w:val="20"/>
        </w:rPr>
        <w:t xml:space="preserve"> Taxes (taxes other than income taxes and taxes associated with the return on rate base), as related to Current Net Distribution Invested capital, calculated using current tax rates and the methodology from the last comprehensive base-rate proceeding, and not including municipal franchise fees.</w:t>
      </w:r>
    </w:p>
    <w:p w:rsidR="005E2B6B" w:rsidP="00580E11" w14:paraId="73001644"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p>
    <w:p w:rsidR="005E2B6B" w:rsidP="00580E11" w14:paraId="65632649"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r>
        <w:rPr>
          <w:rFonts w:ascii="Arial" w:hAnsi="Arial"/>
          <w:sz w:val="20"/>
        </w:rPr>
        <w:t>OT</w:t>
      </w:r>
      <w:r>
        <w:rPr>
          <w:rFonts w:ascii="Arial" w:hAnsi="Arial"/>
          <w:sz w:val="20"/>
          <w:vertAlign w:val="subscript"/>
        </w:rPr>
        <w:t>RC</w:t>
      </w:r>
      <w:r>
        <w:rPr>
          <w:rFonts w:ascii="Arial" w:hAnsi="Arial"/>
          <w:sz w:val="20"/>
          <w:vertAlign w:val="subscript"/>
        </w:rPr>
        <w:tab/>
      </w:r>
      <w:r>
        <w:rPr>
          <w:rFonts w:ascii="Arial" w:hAnsi="Arial"/>
          <w:sz w:val="20"/>
        </w:rPr>
        <w:t>=</w:t>
      </w:r>
      <w:r>
        <w:rPr>
          <w:rFonts w:ascii="Arial" w:hAnsi="Arial"/>
          <w:sz w:val="20"/>
        </w:rPr>
        <w:tab/>
        <w:t>Other Taxes, as related to Net Distribution Invested Capital from the last comprehensive base-rate proceeding, and not including municipal franchise fees.</w:t>
      </w:r>
    </w:p>
    <w:p w:rsidR="00580E11" w:rsidP="00580E11" w14:paraId="27C0BAD4"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p>
    <w:p w:rsidR="005E2B6B" w:rsidP="00580E11" w14:paraId="27CC179B"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r>
        <w:rPr>
          <w:rFonts w:ascii="Arial" w:hAnsi="Arial"/>
          <w:sz w:val="20"/>
        </w:rPr>
        <w:t>DISTREV</w:t>
      </w:r>
      <w:r>
        <w:rPr>
          <w:rFonts w:ascii="Arial" w:hAnsi="Arial"/>
          <w:sz w:val="20"/>
          <w:vertAlign w:val="subscript"/>
        </w:rPr>
        <w:t>RC-CLASS</w:t>
      </w:r>
      <w:r>
        <w:rPr>
          <w:rFonts w:ascii="Arial" w:hAnsi="Arial"/>
          <w:sz w:val="20"/>
        </w:rPr>
        <w:t xml:space="preserve"> (Distribution Revenues by rate class based on Net Distribution Invested Capital from the last comprehensive base-rate proceeding) = (DIC</w:t>
      </w:r>
      <w:r>
        <w:rPr>
          <w:rFonts w:ascii="Arial" w:hAnsi="Arial"/>
          <w:sz w:val="20"/>
          <w:vertAlign w:val="subscript"/>
        </w:rPr>
        <w:t xml:space="preserve">RC-CLASS </w:t>
      </w:r>
      <w:r>
        <w:rPr>
          <w:rFonts w:ascii="Arial" w:hAnsi="Arial"/>
          <w:sz w:val="20"/>
        </w:rPr>
        <w:t>* ROR</w:t>
      </w:r>
      <w:r>
        <w:rPr>
          <w:rFonts w:ascii="Arial" w:hAnsi="Arial"/>
          <w:sz w:val="20"/>
          <w:vertAlign w:val="subscript"/>
        </w:rPr>
        <w:t>AT</w:t>
      </w:r>
      <w:r>
        <w:rPr>
          <w:rFonts w:ascii="Arial" w:hAnsi="Arial"/>
          <w:sz w:val="20"/>
        </w:rPr>
        <w:t>) + DEPR</w:t>
      </w:r>
      <w:r>
        <w:rPr>
          <w:rFonts w:ascii="Arial" w:hAnsi="Arial"/>
          <w:sz w:val="20"/>
          <w:vertAlign w:val="subscript"/>
        </w:rPr>
        <w:t>RC-CLASS</w:t>
      </w:r>
      <w:r>
        <w:rPr>
          <w:rFonts w:ascii="Arial" w:hAnsi="Arial"/>
          <w:sz w:val="20"/>
        </w:rPr>
        <w:t xml:space="preserve"> + FIT</w:t>
      </w:r>
      <w:r>
        <w:rPr>
          <w:rFonts w:ascii="Arial" w:hAnsi="Arial"/>
          <w:sz w:val="20"/>
          <w:vertAlign w:val="subscript"/>
        </w:rPr>
        <w:t>RC-CLASS</w:t>
      </w:r>
      <w:r>
        <w:rPr>
          <w:rFonts w:ascii="Arial" w:hAnsi="Arial"/>
          <w:sz w:val="20"/>
        </w:rPr>
        <w:t xml:space="preserve"> + OT</w:t>
      </w:r>
      <w:r>
        <w:rPr>
          <w:rFonts w:ascii="Arial" w:hAnsi="Arial"/>
          <w:sz w:val="20"/>
          <w:vertAlign w:val="subscript"/>
        </w:rPr>
        <w:t>RC-CLASS</w:t>
      </w:r>
      <w:r>
        <w:rPr>
          <w:rFonts w:ascii="Arial" w:hAnsi="Arial"/>
          <w:sz w:val="20"/>
        </w:rPr>
        <w:t>.</w:t>
      </w:r>
    </w:p>
    <w:p w:rsidR="005E2B6B" w:rsidP="00580E11" w14:paraId="5BB25ED0" w14:textId="4907E661">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p>
    <w:p w:rsidR="009446FA" w:rsidP="00580E11" w14:paraId="64EC32AB" w14:textId="4F1DFB91">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r w:rsidRPr="000B6C6D">
        <w:rPr>
          <w:rFonts w:ascii="Arial" w:hAnsi="Arial"/>
          <w:b/>
          <w:noProof/>
          <w:sz w:val="16"/>
          <w:szCs w:val="16"/>
        </w:rPr>
        <mc:AlternateContent>
          <mc:Choice Requires="wps">
            <w:drawing>
              <wp:anchor distT="45720" distB="45720" distL="114300" distR="114300" simplePos="0" relativeHeight="251660288" behindDoc="0" locked="0" layoutInCell="1" allowOverlap="1">
                <wp:simplePos x="0" y="0"/>
                <wp:positionH relativeFrom="column">
                  <wp:posOffset>4643562</wp:posOffset>
                </wp:positionH>
                <wp:positionV relativeFrom="page">
                  <wp:posOffset>169103</wp:posOffset>
                </wp:positionV>
                <wp:extent cx="1184275" cy="1783080"/>
                <wp:effectExtent l="0" t="0" r="0" b="0"/>
                <wp:wrapSquare wrapText="bothSides"/>
                <wp:docPr id="5"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184275" cy="1783080"/>
                        </a:xfrm>
                        <a:prstGeom prst="rect">
                          <a:avLst/>
                        </a:prstGeom>
                        <a:solidFill>
                          <a:srgbClr val="FFFFFF"/>
                        </a:solidFill>
                        <a:ln w="9525">
                          <a:noFill/>
                          <a:miter lim="800000"/>
                          <a:headEnd/>
                          <a:tailEnd/>
                        </a:ln>
                      </wps:spPr>
                      <wps:txbx>
                        <w:txbxContent>
                          <w:p w:rsidR="000B6C6D" w:rsidRPr="000B6C6D" w:rsidP="000B6C6D" w14:textId="77777777">
                            <w:pPr>
                              <w:rPr>
                                <w:rFonts w:ascii="Arial" w:hAnsi="Arial" w:cs="Arial"/>
                                <w:color w:val="auto"/>
                                <w:shd w:val="clear" w:color="auto" w:fill="auto"/>
                              </w:rPr>
                            </w:pPr>
                            <w:r w:rsidRPr="000B6C6D">
                              <w:rPr>
                                <w:rFonts w:ascii="Arial" w:hAnsi="Arial" w:cs="Arial"/>
                              </w:rPr>
                              <w:t>Exhibit MAT-4</w:t>
                            </w:r>
                          </w:p>
                        </w:txbxContent>
                      </wps:txbx>
                      <wps:bodyPr rot="0" vert="horz" wrap="square"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6" type="#_x0000_t202" style="width:93.25pt;height:21.7pt;margin-top:13.3pt;margin-left:365.65pt;mso-height-percent:200;mso-height-relative:margin;mso-position-vertical-relative:page;mso-width-percent:0;mso-width-relative:margin;mso-wrap-distance-bottom:3.6pt;mso-wrap-distance-left:9pt;mso-wrap-distance-right:9pt;mso-wrap-distance-top:3.6pt;mso-wrap-style:square;position:absolute;visibility:visible;v-text-anchor:top;z-index:251661312" stroked="f">
                <v:textbox style="mso-fit-shape-to-text:t">
                  <w:txbxContent>
                    <w:p w:rsidR="000B6C6D" w:rsidRPr="000B6C6D" w:rsidP="000B6C6D" w14:paraId="4831BE25" w14:textId="77777777">
                      <w:pPr>
                        <w:rPr>
                          <w:rFonts w:ascii="Arial" w:hAnsi="Arial" w:cs="Arial"/>
                        </w:rPr>
                      </w:pPr>
                      <w:r w:rsidRPr="000B6C6D">
                        <w:rPr>
                          <w:rFonts w:ascii="Arial" w:hAnsi="Arial" w:cs="Arial"/>
                        </w:rPr>
                        <w:t>Exhibit MAT-4</w:t>
                      </w:r>
                    </w:p>
                  </w:txbxContent>
                </v:textbox>
                <w10:wrap type="square"/>
              </v:shape>
            </w:pict>
          </mc:Fallback>
        </mc:AlternateContent>
      </w:r>
    </w:p>
    <w:p w:rsidR="005E2B6B" w:rsidP="00580E11" w14:paraId="5460B38B"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r>
        <w:rPr>
          <w:rFonts w:ascii="Arial" w:hAnsi="Arial"/>
          <w:sz w:val="20"/>
        </w:rPr>
        <w:t>%GROWTH</w:t>
      </w:r>
      <w:r>
        <w:rPr>
          <w:rFonts w:ascii="Arial" w:hAnsi="Arial"/>
          <w:sz w:val="20"/>
          <w:vertAlign w:val="subscript"/>
        </w:rPr>
        <w:t>CLASS</w:t>
      </w:r>
      <w:r>
        <w:rPr>
          <w:rFonts w:ascii="Arial" w:hAnsi="Arial"/>
          <w:sz w:val="20"/>
        </w:rPr>
        <w:t xml:space="preserve"> (Growth in Billing Determinants by Class) </w:t>
      </w:r>
      <w:r w:rsidR="00C61B09">
        <w:rPr>
          <w:rFonts w:ascii="Arial" w:hAnsi="Arial"/>
          <w:sz w:val="20"/>
        </w:rPr>
        <w:t>=</w:t>
      </w:r>
      <w:r>
        <w:rPr>
          <w:rFonts w:ascii="Arial" w:hAnsi="Arial"/>
          <w:sz w:val="20"/>
        </w:rPr>
        <w:t xml:space="preserve"> (BD</w:t>
      </w:r>
      <w:r>
        <w:rPr>
          <w:rFonts w:ascii="Arial" w:hAnsi="Arial"/>
          <w:sz w:val="20"/>
          <w:vertAlign w:val="subscript"/>
        </w:rPr>
        <w:t>C-CLASS</w:t>
      </w:r>
      <w:r>
        <w:rPr>
          <w:rFonts w:ascii="Arial" w:hAnsi="Arial"/>
          <w:sz w:val="20"/>
        </w:rPr>
        <w:t xml:space="preserve"> – BD</w:t>
      </w:r>
      <w:r>
        <w:rPr>
          <w:rFonts w:ascii="Arial" w:hAnsi="Arial"/>
          <w:sz w:val="20"/>
          <w:vertAlign w:val="subscript"/>
        </w:rPr>
        <w:t>RC-CLASS</w:t>
      </w:r>
      <w:r>
        <w:rPr>
          <w:rFonts w:ascii="Arial" w:hAnsi="Arial"/>
          <w:sz w:val="20"/>
        </w:rPr>
        <w:t>) / BC</w:t>
      </w:r>
      <w:r>
        <w:rPr>
          <w:rFonts w:ascii="Arial" w:hAnsi="Arial"/>
          <w:sz w:val="20"/>
          <w:vertAlign w:val="subscript"/>
        </w:rPr>
        <w:t>RC-CLASS</w:t>
      </w:r>
      <w:r>
        <w:rPr>
          <w:rFonts w:ascii="Arial" w:hAnsi="Arial"/>
          <w:sz w:val="20"/>
        </w:rPr>
        <w:t>.</w:t>
      </w:r>
    </w:p>
    <w:p w:rsidR="005E2B6B" w:rsidP="00580E11" w14:paraId="1CD4CB24"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p>
    <w:p w:rsidR="005E2B6B" w:rsidP="00580E11" w14:paraId="2A81F048"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r>
        <w:rPr>
          <w:rFonts w:ascii="Arial" w:hAnsi="Arial"/>
          <w:sz w:val="20"/>
        </w:rPr>
        <w:t>DIC</w:t>
      </w:r>
      <w:r>
        <w:rPr>
          <w:rFonts w:ascii="Arial" w:hAnsi="Arial"/>
          <w:sz w:val="20"/>
          <w:vertAlign w:val="subscript"/>
        </w:rPr>
        <w:t>RC-CLASS</w:t>
      </w:r>
      <w:r>
        <w:rPr>
          <w:rFonts w:ascii="Arial" w:hAnsi="Arial"/>
          <w:sz w:val="20"/>
        </w:rPr>
        <w:t xml:space="preserve"> = </w:t>
      </w:r>
      <w:r>
        <w:rPr>
          <w:rFonts w:ascii="Arial" w:hAnsi="Arial"/>
          <w:sz w:val="20"/>
        </w:rPr>
        <w:tab/>
        <w:t>Net Distribution Invested Capital allocated to the rate class from the last comprehensive base-rate proceeding.</w:t>
      </w:r>
    </w:p>
    <w:p w:rsidR="005F1FB6" w:rsidP="00580E11" w14:paraId="55EBC994"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p>
    <w:p w:rsidR="005F1FB6" w:rsidP="00580E11" w14:paraId="51A12149"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r>
        <w:rPr>
          <w:rFonts w:ascii="Arial" w:hAnsi="Arial"/>
          <w:sz w:val="20"/>
        </w:rPr>
        <w:t>DEPR</w:t>
      </w:r>
      <w:r>
        <w:rPr>
          <w:rFonts w:ascii="Arial" w:hAnsi="Arial"/>
          <w:sz w:val="20"/>
          <w:vertAlign w:val="subscript"/>
        </w:rPr>
        <w:t>RC-CLASS</w:t>
      </w:r>
      <w:r>
        <w:rPr>
          <w:rFonts w:ascii="Arial" w:hAnsi="Arial"/>
          <w:sz w:val="20"/>
        </w:rPr>
        <w:t xml:space="preserve"> =</w:t>
      </w:r>
      <w:r>
        <w:rPr>
          <w:rFonts w:ascii="Arial" w:hAnsi="Arial"/>
          <w:sz w:val="20"/>
        </w:rPr>
        <w:tab/>
      </w:r>
      <w:r w:rsidR="00B73220">
        <w:rPr>
          <w:rFonts w:ascii="Arial" w:hAnsi="Arial"/>
          <w:sz w:val="20"/>
        </w:rPr>
        <w:t>Depreciation Expense, as related to Gross Distribution Invested Capital, allocated to the rate class in the last comprehensive base-rate proceeding.</w:t>
      </w:r>
    </w:p>
    <w:p w:rsidR="00B73220" w:rsidP="00580E11" w14:paraId="2D86C44A"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p>
    <w:p w:rsidR="00B73220" w:rsidP="00580E11" w14:paraId="26250B66"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r>
        <w:rPr>
          <w:rFonts w:ascii="Arial" w:hAnsi="Arial"/>
          <w:sz w:val="20"/>
        </w:rPr>
        <w:t>FIT</w:t>
      </w:r>
      <w:r>
        <w:rPr>
          <w:rFonts w:ascii="Arial" w:hAnsi="Arial"/>
          <w:sz w:val="20"/>
          <w:vertAlign w:val="subscript"/>
        </w:rPr>
        <w:t>RC-CLASS</w:t>
      </w:r>
      <w:r>
        <w:rPr>
          <w:rFonts w:ascii="Arial" w:hAnsi="Arial"/>
          <w:sz w:val="20"/>
        </w:rPr>
        <w:t xml:space="preserve"> =</w:t>
      </w:r>
      <w:r>
        <w:rPr>
          <w:rFonts w:ascii="Arial" w:hAnsi="Arial"/>
          <w:sz w:val="20"/>
        </w:rPr>
        <w:tab/>
        <w:t>Federal Income Tax, as related to Net Distribution Invested Capital, allocated to the rate class in the last comprehensive base-rate proceeding.</w:t>
      </w:r>
    </w:p>
    <w:p w:rsidR="00B73220" w:rsidP="00580E11" w14:paraId="76330A97"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p>
    <w:p w:rsidR="00874D72" w:rsidRPr="001F33C7" w:rsidP="00580E11" w14:paraId="1F2A2816"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vertAlign w:val="subscript"/>
        </w:rPr>
      </w:pPr>
      <w:r>
        <w:rPr>
          <w:rFonts w:ascii="Arial" w:hAnsi="Arial"/>
          <w:sz w:val="20"/>
        </w:rPr>
        <w:t>OT</w:t>
      </w:r>
      <w:r>
        <w:rPr>
          <w:rFonts w:ascii="Arial" w:hAnsi="Arial"/>
          <w:sz w:val="20"/>
          <w:vertAlign w:val="subscript"/>
        </w:rPr>
        <w:t>RC-CLASS</w:t>
      </w:r>
      <w:r>
        <w:rPr>
          <w:rFonts w:ascii="Arial" w:hAnsi="Arial"/>
          <w:sz w:val="20"/>
        </w:rPr>
        <w:t xml:space="preserve"> =</w:t>
      </w:r>
      <w:r>
        <w:rPr>
          <w:rFonts w:ascii="Arial" w:hAnsi="Arial"/>
          <w:sz w:val="20"/>
        </w:rPr>
        <w:tab/>
        <w:t>Other Taxes, as related to Net Distribution Invested Capital, allocated to the ra</w:t>
      </w:r>
      <w:r w:rsidR="00C61B09">
        <w:rPr>
          <w:rFonts w:ascii="Arial" w:hAnsi="Arial"/>
          <w:sz w:val="20"/>
        </w:rPr>
        <w:t>t</w:t>
      </w:r>
      <w:r>
        <w:rPr>
          <w:rFonts w:ascii="Arial" w:hAnsi="Arial"/>
          <w:sz w:val="20"/>
        </w:rPr>
        <w:t>e class in the last comprehensive base-rate proceeding, and not including municipal franchise fees.</w:t>
      </w:r>
      <w:r>
        <w:rPr>
          <w:rFonts w:ascii="Arial" w:hAnsi="Arial"/>
          <w:sz w:val="20"/>
          <w:vertAlign w:val="subscript"/>
        </w:rPr>
        <w:tab/>
      </w:r>
    </w:p>
    <w:p w:rsidR="00874D72" w:rsidP="00580E11" w14:paraId="2F5096C1"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p>
    <w:p w:rsidR="005F1FB6" w:rsidRPr="001F33C7" w:rsidP="00580E11" w14:paraId="41B43DE2"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vertAlign w:val="subscript"/>
        </w:rPr>
      </w:pPr>
      <w:r>
        <w:rPr>
          <w:rFonts w:ascii="Arial" w:hAnsi="Arial"/>
          <w:sz w:val="20"/>
        </w:rPr>
        <w:t>ALLOC</w:t>
      </w:r>
      <w:r>
        <w:rPr>
          <w:rFonts w:ascii="Arial" w:hAnsi="Arial"/>
          <w:sz w:val="20"/>
          <w:vertAlign w:val="subscript"/>
        </w:rPr>
        <w:t>CLASS</w:t>
      </w:r>
      <w:r>
        <w:rPr>
          <w:rFonts w:ascii="Arial" w:hAnsi="Arial"/>
          <w:sz w:val="20"/>
        </w:rPr>
        <w:t xml:space="preserve"> =</w:t>
      </w:r>
      <w:r>
        <w:rPr>
          <w:rFonts w:ascii="Arial" w:hAnsi="Arial"/>
          <w:sz w:val="20"/>
        </w:rPr>
        <w:tab/>
        <w:t>Rate Class Allocation Factor approved in the last comprehensive base-rate proceeding, calculated as:  total net distribution plant allocated to rate class, divided by total net distribution plant.  For situations in which data from the last comprehensive base-rate proceeding are not available to perform the described calculation, the Rate Class Allocation Factor shall be calculated as the total distribution revenue requirement allocated to the rate class ( less any identifiable amounts explicitly unrelated to Distribution Invested Capital</w:t>
      </w:r>
      <w:r w:rsidR="001E6678">
        <w:rPr>
          <w:rFonts w:ascii="Arial" w:hAnsi="Arial"/>
          <w:sz w:val="20"/>
        </w:rPr>
        <w:t>) divided by the total distribution revenue requirement (less any identifiable</w:t>
      </w:r>
      <w:r w:rsidR="00185150">
        <w:rPr>
          <w:rFonts w:ascii="Arial" w:hAnsi="Arial"/>
          <w:sz w:val="20"/>
        </w:rPr>
        <w:t xml:space="preserve"> </w:t>
      </w:r>
      <w:r w:rsidR="001E6678">
        <w:rPr>
          <w:rFonts w:ascii="Arial" w:hAnsi="Arial"/>
          <w:sz w:val="20"/>
        </w:rPr>
        <w:t>amounts explicitly unrelated to Distribution Invested Capital) for all classes as approved by the commission in the electric utility’s last comprehensive base-rate case.</w:t>
      </w:r>
    </w:p>
    <w:p w:rsidR="00FA0A8C" w:rsidP="00580E11" w14:paraId="3AB6E3CA" w14:textId="77777777">
      <w:pPr>
        <w:tabs>
          <w:tab w:val="left" w:pos="600"/>
          <w:tab w:val="left" w:pos="1440"/>
          <w:tab w:val="left" w:pos="2040"/>
          <w:tab w:val="left" w:pos="3000"/>
          <w:tab w:val="left" w:pos="4320"/>
          <w:tab w:val="left" w:pos="5760"/>
          <w:tab w:val="left" w:pos="6720"/>
        </w:tabs>
        <w:jc w:val="both"/>
        <w:rPr>
          <w:rFonts w:ascii="Arial" w:hAnsi="Arial"/>
          <w:color w:val="auto"/>
          <w:sz w:val="20"/>
          <w:shd w:val="clear" w:color="auto" w:fill="auto"/>
        </w:rPr>
      </w:pPr>
    </w:p>
    <w:p w:rsidR="00FA0A8C" w:rsidP="00580E11" w14:paraId="154D8A50"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r>
        <w:rPr>
          <w:rFonts w:ascii="Arial" w:hAnsi="Arial"/>
          <w:sz w:val="20"/>
        </w:rPr>
        <w:tab/>
      </w:r>
      <w:r>
        <w:rPr>
          <w:rFonts w:ascii="Arial" w:hAnsi="Arial"/>
          <w:sz w:val="20"/>
        </w:rPr>
        <w:tab/>
        <w:t>The Allocation Factor for each listed rate schedule is as follows:</w:t>
      </w:r>
    </w:p>
    <w:p w:rsidR="00FA0A8C" w:rsidP="00580E11" w14:paraId="5ABFCEF1" w14:textId="77777777">
      <w:pPr>
        <w:tabs>
          <w:tab w:val="left" w:pos="600"/>
          <w:tab w:val="left" w:pos="1440"/>
          <w:tab w:val="left" w:pos="2040"/>
          <w:tab w:val="left" w:pos="3000"/>
          <w:tab w:val="left" w:pos="4320"/>
          <w:tab w:val="left" w:pos="5760"/>
          <w:tab w:val="left" w:pos="6720"/>
        </w:tabs>
        <w:jc w:val="both"/>
        <w:rPr>
          <w:rFonts w:ascii="Arial" w:hAnsi="Arial"/>
          <w:color w:val="auto"/>
          <w:sz w:val="20"/>
          <w:shd w:val="clear" w:color="auto" w:fill="auto"/>
        </w:rPr>
      </w:pPr>
      <w:r>
        <w:rPr>
          <w:rFonts w:ascii="Arial" w:hAnsi="Arial"/>
          <w:sz w:val="20"/>
        </w:rPr>
        <w:tab/>
      </w:r>
    </w:p>
    <w:p w:rsidR="00FA0A8C" w:rsidP="00580E11" w14:paraId="0B72D004" w14:textId="3B6AC13E">
      <w:pPr>
        <w:tabs>
          <w:tab w:val="left" w:pos="600"/>
          <w:tab w:val="left" w:pos="1440"/>
          <w:tab w:val="left" w:pos="2040"/>
          <w:tab w:val="left" w:pos="3000"/>
          <w:tab w:val="left" w:pos="4320"/>
          <w:tab w:val="left" w:pos="5760"/>
          <w:tab w:val="left" w:pos="6720"/>
          <w:tab w:val="right" w:pos="8280"/>
        </w:tabs>
        <w:ind w:firstLine="2070"/>
        <w:jc w:val="both"/>
        <w:rPr>
          <w:rFonts w:ascii="Arial" w:hAnsi="Arial"/>
          <w:color w:val="auto"/>
          <w:sz w:val="20"/>
          <w:shd w:val="clear" w:color="auto" w:fill="auto"/>
        </w:rPr>
      </w:pPr>
      <w:bookmarkStart w:id="0" w:name="OLE_LINK1"/>
      <w:r>
        <w:rPr>
          <w:rFonts w:ascii="Arial" w:hAnsi="Arial"/>
          <w:sz w:val="20"/>
        </w:rPr>
        <w:t>Residential Service</w:t>
      </w:r>
      <w:r>
        <w:rPr>
          <w:rFonts w:ascii="Arial" w:hAnsi="Arial"/>
          <w:sz w:val="20"/>
        </w:rPr>
        <w:tab/>
      </w:r>
      <w:r>
        <w:rPr>
          <w:rFonts w:ascii="Arial" w:hAnsi="Arial"/>
          <w:sz w:val="20"/>
        </w:rPr>
        <w:tab/>
      </w:r>
      <w:r>
        <w:rPr>
          <w:rFonts w:ascii="Arial" w:hAnsi="Arial"/>
          <w:sz w:val="20"/>
        </w:rPr>
        <w:tab/>
      </w:r>
      <w:r>
        <w:rPr>
          <w:rFonts w:ascii="Arial" w:hAnsi="Arial"/>
          <w:sz w:val="20"/>
        </w:rPr>
        <w:tab/>
      </w:r>
      <w:r w:rsidR="00487FAF">
        <w:rPr>
          <w:rFonts w:ascii="Arial" w:hAnsi="Arial"/>
          <w:sz w:val="20"/>
        </w:rPr>
        <w:t>55.</w:t>
      </w:r>
      <w:r w:rsidR="001F1285">
        <w:rPr>
          <w:rFonts w:ascii="Arial" w:hAnsi="Arial"/>
          <w:sz w:val="20"/>
        </w:rPr>
        <w:t>820</w:t>
      </w:r>
      <w:r w:rsidR="002400E6">
        <w:rPr>
          <w:rFonts w:ascii="Arial" w:hAnsi="Arial"/>
          <w:sz w:val="20"/>
        </w:rPr>
        <w:t>3</w:t>
      </w:r>
      <w:r>
        <w:rPr>
          <w:rFonts w:ascii="Arial" w:hAnsi="Arial"/>
          <w:sz w:val="20"/>
        </w:rPr>
        <w:t>%</w:t>
      </w:r>
    </w:p>
    <w:p w:rsidR="00FA0A8C" w:rsidP="00580E11" w14:paraId="4EA2E279" w14:textId="49ECAF6F">
      <w:pPr>
        <w:tabs>
          <w:tab w:val="left" w:pos="600"/>
          <w:tab w:val="left" w:pos="1440"/>
          <w:tab w:val="left" w:pos="2040"/>
          <w:tab w:val="left" w:pos="3000"/>
          <w:tab w:val="left" w:pos="4320"/>
          <w:tab w:val="left" w:pos="5760"/>
          <w:tab w:val="left" w:pos="6720"/>
          <w:tab w:val="right" w:pos="8280"/>
        </w:tabs>
        <w:ind w:left="1440" w:firstLine="630"/>
        <w:jc w:val="both"/>
        <w:rPr>
          <w:rFonts w:ascii="Arial" w:hAnsi="Arial"/>
          <w:color w:val="auto"/>
          <w:sz w:val="20"/>
          <w:shd w:val="clear" w:color="auto" w:fill="auto"/>
        </w:rPr>
      </w:pPr>
      <w:r>
        <w:rPr>
          <w:rFonts w:ascii="Arial" w:hAnsi="Arial"/>
          <w:sz w:val="20"/>
        </w:rPr>
        <w:t>Secondary Service Less Than or Equal to 10 kW</w:t>
      </w:r>
      <w:r>
        <w:rPr>
          <w:rFonts w:ascii="Arial" w:hAnsi="Arial"/>
          <w:sz w:val="20"/>
        </w:rPr>
        <w:tab/>
        <w:t xml:space="preserve"> </w:t>
      </w:r>
      <w:r>
        <w:rPr>
          <w:rFonts w:ascii="Arial" w:hAnsi="Arial"/>
          <w:sz w:val="20"/>
        </w:rPr>
        <w:tab/>
      </w:r>
      <w:r w:rsidR="00487FAF">
        <w:rPr>
          <w:rFonts w:ascii="Arial" w:hAnsi="Arial"/>
          <w:sz w:val="20"/>
        </w:rPr>
        <w:t>2.</w:t>
      </w:r>
      <w:r w:rsidR="001F1285">
        <w:rPr>
          <w:rFonts w:ascii="Arial" w:hAnsi="Arial"/>
          <w:sz w:val="20"/>
        </w:rPr>
        <w:t>0953</w:t>
      </w:r>
      <w:r>
        <w:rPr>
          <w:rFonts w:ascii="Arial" w:hAnsi="Arial"/>
          <w:sz w:val="20"/>
        </w:rPr>
        <w:t>%</w:t>
      </w:r>
    </w:p>
    <w:p w:rsidR="00FA0A8C" w:rsidP="00580E11" w14:paraId="59D71E90" w14:textId="45C5D89F">
      <w:pPr>
        <w:tabs>
          <w:tab w:val="left" w:pos="600"/>
          <w:tab w:val="left" w:pos="1440"/>
          <w:tab w:val="left" w:pos="2040"/>
          <w:tab w:val="left" w:pos="3000"/>
          <w:tab w:val="left" w:pos="4320"/>
          <w:tab w:val="left" w:pos="5760"/>
          <w:tab w:val="left" w:pos="6720"/>
          <w:tab w:val="right" w:pos="8280"/>
        </w:tabs>
        <w:ind w:left="1440" w:firstLine="630"/>
        <w:jc w:val="both"/>
        <w:rPr>
          <w:rFonts w:ascii="Arial" w:hAnsi="Arial"/>
          <w:color w:val="auto"/>
          <w:sz w:val="20"/>
          <w:shd w:val="clear" w:color="auto" w:fill="auto"/>
        </w:rPr>
      </w:pPr>
      <w:r>
        <w:rPr>
          <w:rFonts w:ascii="Arial" w:hAnsi="Arial"/>
          <w:sz w:val="20"/>
        </w:rPr>
        <w:t>Secondary Service Greater Than 10 kW</w:t>
      </w:r>
      <w:r>
        <w:rPr>
          <w:rFonts w:ascii="Arial" w:hAnsi="Arial"/>
          <w:sz w:val="20"/>
        </w:rPr>
        <w:tab/>
      </w:r>
      <w:r>
        <w:rPr>
          <w:rFonts w:ascii="Arial" w:hAnsi="Arial"/>
          <w:sz w:val="20"/>
        </w:rPr>
        <w:tab/>
      </w:r>
      <w:r>
        <w:rPr>
          <w:rFonts w:ascii="Arial" w:hAnsi="Arial"/>
          <w:sz w:val="20"/>
        </w:rPr>
        <w:tab/>
      </w:r>
      <w:r w:rsidR="00487FAF">
        <w:rPr>
          <w:rFonts w:ascii="Arial" w:hAnsi="Arial"/>
          <w:sz w:val="20"/>
        </w:rPr>
        <w:t>34.</w:t>
      </w:r>
      <w:r w:rsidR="001F1285">
        <w:rPr>
          <w:rFonts w:ascii="Arial" w:hAnsi="Arial"/>
          <w:sz w:val="20"/>
        </w:rPr>
        <w:t>9913</w:t>
      </w:r>
      <w:r>
        <w:rPr>
          <w:rFonts w:ascii="Arial" w:hAnsi="Arial"/>
          <w:sz w:val="20"/>
        </w:rPr>
        <w:t>%</w:t>
      </w:r>
    </w:p>
    <w:p w:rsidR="00FA0A8C" w:rsidP="00580E11" w14:paraId="2CBC55A7" w14:textId="50641FF2">
      <w:pPr>
        <w:tabs>
          <w:tab w:val="left" w:pos="600"/>
          <w:tab w:val="left" w:pos="1440"/>
          <w:tab w:val="left" w:pos="2040"/>
          <w:tab w:val="left" w:pos="3000"/>
          <w:tab w:val="left" w:pos="4320"/>
          <w:tab w:val="left" w:pos="5760"/>
          <w:tab w:val="left" w:pos="6720"/>
          <w:tab w:val="right" w:pos="8280"/>
        </w:tabs>
        <w:ind w:left="1440" w:firstLine="630"/>
        <w:jc w:val="both"/>
        <w:rPr>
          <w:rFonts w:ascii="Arial" w:hAnsi="Arial"/>
          <w:color w:val="auto"/>
          <w:sz w:val="20"/>
          <w:shd w:val="clear" w:color="auto" w:fill="auto"/>
        </w:rPr>
      </w:pPr>
      <w:r>
        <w:rPr>
          <w:rFonts w:ascii="Arial" w:hAnsi="Arial"/>
          <w:sz w:val="20"/>
        </w:rPr>
        <w:t>Primary Service Less Than or Equal to 10 kW</w:t>
      </w:r>
      <w:r>
        <w:rPr>
          <w:rFonts w:ascii="Arial" w:hAnsi="Arial"/>
          <w:sz w:val="20"/>
        </w:rPr>
        <w:tab/>
      </w:r>
      <w:r>
        <w:rPr>
          <w:rFonts w:ascii="Arial" w:hAnsi="Arial"/>
          <w:sz w:val="20"/>
        </w:rPr>
        <w:tab/>
      </w:r>
      <w:r w:rsidR="00487FAF">
        <w:rPr>
          <w:rFonts w:ascii="Arial" w:hAnsi="Arial"/>
          <w:sz w:val="20"/>
        </w:rPr>
        <w:t>0.0</w:t>
      </w:r>
      <w:r w:rsidR="001F1285">
        <w:rPr>
          <w:rFonts w:ascii="Arial" w:hAnsi="Arial"/>
          <w:sz w:val="20"/>
        </w:rPr>
        <w:t>284</w:t>
      </w:r>
      <w:r>
        <w:rPr>
          <w:rFonts w:ascii="Arial" w:hAnsi="Arial"/>
          <w:sz w:val="20"/>
        </w:rPr>
        <w:t>%</w:t>
      </w:r>
    </w:p>
    <w:p w:rsidR="00FA0A8C" w:rsidP="00580E11" w14:paraId="502EAB41" w14:textId="1E72BA17">
      <w:pPr>
        <w:tabs>
          <w:tab w:val="left" w:pos="600"/>
          <w:tab w:val="left" w:pos="1440"/>
          <w:tab w:val="left" w:pos="2040"/>
          <w:tab w:val="left" w:pos="3000"/>
          <w:tab w:val="left" w:pos="4320"/>
          <w:tab w:val="left" w:pos="5760"/>
          <w:tab w:val="left" w:pos="6720"/>
          <w:tab w:val="right" w:pos="8280"/>
        </w:tabs>
        <w:ind w:left="1440" w:firstLine="630"/>
        <w:jc w:val="both"/>
        <w:rPr>
          <w:rFonts w:ascii="Arial" w:hAnsi="Arial"/>
          <w:color w:val="auto"/>
          <w:sz w:val="20"/>
          <w:shd w:val="clear" w:color="auto" w:fill="auto"/>
        </w:rPr>
      </w:pPr>
      <w:r>
        <w:rPr>
          <w:rFonts w:ascii="Arial" w:hAnsi="Arial"/>
          <w:sz w:val="20"/>
        </w:rPr>
        <w:t>Primary Service Greater Than 10 kW Distribution Line</w:t>
      </w:r>
      <w:r>
        <w:rPr>
          <w:rFonts w:ascii="Arial" w:hAnsi="Arial"/>
          <w:sz w:val="20"/>
        </w:rPr>
        <w:tab/>
      </w:r>
      <w:r w:rsidR="00487FAF">
        <w:rPr>
          <w:rFonts w:ascii="Arial" w:hAnsi="Arial"/>
          <w:sz w:val="20"/>
        </w:rPr>
        <w:t>5.5</w:t>
      </w:r>
      <w:r w:rsidR="001F1285">
        <w:rPr>
          <w:rFonts w:ascii="Arial" w:hAnsi="Arial"/>
          <w:sz w:val="20"/>
        </w:rPr>
        <w:t>524</w:t>
      </w:r>
      <w:r>
        <w:rPr>
          <w:rFonts w:ascii="Arial" w:hAnsi="Arial"/>
          <w:sz w:val="20"/>
        </w:rPr>
        <w:t>%</w:t>
      </w:r>
    </w:p>
    <w:p w:rsidR="00FA0A8C" w:rsidP="00580E11" w14:paraId="296CB04F" w14:textId="2BF3B0FE">
      <w:pPr>
        <w:tabs>
          <w:tab w:val="left" w:pos="600"/>
          <w:tab w:val="left" w:pos="1440"/>
          <w:tab w:val="left" w:pos="2040"/>
          <w:tab w:val="left" w:pos="3000"/>
          <w:tab w:val="left" w:pos="4320"/>
          <w:tab w:val="left" w:pos="5760"/>
          <w:tab w:val="right" w:pos="8280"/>
        </w:tabs>
        <w:ind w:left="1440" w:firstLine="630"/>
        <w:jc w:val="both"/>
        <w:rPr>
          <w:rFonts w:ascii="Arial" w:hAnsi="Arial"/>
          <w:color w:val="auto"/>
          <w:sz w:val="20"/>
          <w:shd w:val="clear" w:color="auto" w:fill="auto"/>
        </w:rPr>
      </w:pPr>
      <w:r>
        <w:rPr>
          <w:rFonts w:ascii="Arial" w:hAnsi="Arial"/>
          <w:sz w:val="20"/>
        </w:rPr>
        <w:t>Primary Service Greater Than 10 kW Substation</w:t>
      </w:r>
      <w:r>
        <w:rPr>
          <w:rFonts w:ascii="Arial" w:hAnsi="Arial"/>
          <w:sz w:val="20"/>
        </w:rPr>
        <w:tab/>
      </w:r>
      <w:r w:rsidR="00487FAF">
        <w:rPr>
          <w:rFonts w:ascii="Arial" w:hAnsi="Arial"/>
          <w:sz w:val="20"/>
        </w:rPr>
        <w:t>0.5</w:t>
      </w:r>
      <w:r w:rsidR="001F1285">
        <w:rPr>
          <w:rFonts w:ascii="Arial" w:hAnsi="Arial"/>
          <w:sz w:val="20"/>
        </w:rPr>
        <w:t>328</w:t>
      </w:r>
      <w:r>
        <w:rPr>
          <w:rFonts w:ascii="Arial" w:hAnsi="Arial"/>
          <w:sz w:val="20"/>
        </w:rPr>
        <w:t>%</w:t>
      </w:r>
    </w:p>
    <w:p w:rsidR="00FA0A8C" w:rsidP="00580E11" w14:paraId="49B49C6B" w14:textId="0517104A">
      <w:pPr>
        <w:tabs>
          <w:tab w:val="left" w:pos="600"/>
          <w:tab w:val="left" w:pos="1440"/>
          <w:tab w:val="left" w:pos="2040"/>
          <w:tab w:val="left" w:pos="3000"/>
          <w:tab w:val="left" w:pos="4320"/>
          <w:tab w:val="left" w:pos="5760"/>
          <w:tab w:val="right" w:pos="8280"/>
        </w:tabs>
        <w:ind w:left="1440" w:firstLine="630"/>
        <w:jc w:val="both"/>
        <w:rPr>
          <w:rFonts w:ascii="Arial" w:hAnsi="Arial"/>
          <w:color w:val="auto"/>
          <w:sz w:val="20"/>
          <w:shd w:val="clear" w:color="auto" w:fill="auto"/>
        </w:rPr>
      </w:pPr>
      <w:r>
        <w:rPr>
          <w:rFonts w:ascii="Arial" w:hAnsi="Arial"/>
          <w:sz w:val="20"/>
        </w:rPr>
        <w:t>Transmission Service</w:t>
      </w:r>
      <w:r>
        <w:rPr>
          <w:rFonts w:ascii="Arial" w:hAnsi="Arial"/>
          <w:sz w:val="20"/>
        </w:rPr>
        <w:tab/>
      </w:r>
      <w:r>
        <w:rPr>
          <w:rFonts w:ascii="Arial" w:hAnsi="Arial"/>
          <w:sz w:val="20"/>
        </w:rPr>
        <w:tab/>
      </w:r>
      <w:r>
        <w:rPr>
          <w:rFonts w:ascii="Arial" w:hAnsi="Arial"/>
          <w:sz w:val="20"/>
        </w:rPr>
        <w:tab/>
      </w:r>
      <w:r w:rsidR="00487FAF">
        <w:rPr>
          <w:rFonts w:ascii="Arial" w:hAnsi="Arial"/>
          <w:sz w:val="20"/>
        </w:rPr>
        <w:t>0.12</w:t>
      </w:r>
      <w:r w:rsidR="001F1285">
        <w:rPr>
          <w:rFonts w:ascii="Arial" w:hAnsi="Arial"/>
          <w:sz w:val="20"/>
        </w:rPr>
        <w:t>34</w:t>
      </w:r>
      <w:r>
        <w:rPr>
          <w:rFonts w:ascii="Arial" w:hAnsi="Arial"/>
          <w:sz w:val="20"/>
        </w:rPr>
        <w:t>%</w:t>
      </w:r>
    </w:p>
    <w:p w:rsidR="00FA0A8C" w:rsidP="00580E11" w14:paraId="30E186EB" w14:textId="30230E20">
      <w:pPr>
        <w:tabs>
          <w:tab w:val="left" w:pos="600"/>
          <w:tab w:val="left" w:pos="1440"/>
          <w:tab w:val="left" w:pos="2040"/>
          <w:tab w:val="left" w:pos="3000"/>
          <w:tab w:val="left" w:pos="4320"/>
          <w:tab w:val="left" w:pos="5760"/>
          <w:tab w:val="right" w:pos="8280"/>
        </w:tabs>
        <w:ind w:left="1440" w:firstLine="630"/>
        <w:jc w:val="both"/>
        <w:rPr>
          <w:rFonts w:ascii="Arial" w:hAnsi="Arial"/>
          <w:color w:val="auto"/>
          <w:sz w:val="20"/>
          <w:shd w:val="clear" w:color="auto" w:fill="auto"/>
        </w:rPr>
      </w:pPr>
      <w:r>
        <w:rPr>
          <w:rFonts w:ascii="Arial" w:hAnsi="Arial"/>
          <w:sz w:val="20"/>
        </w:rPr>
        <w:t>Lighting Service</w:t>
      </w:r>
      <w:r>
        <w:rPr>
          <w:rFonts w:ascii="Arial" w:hAnsi="Arial"/>
          <w:sz w:val="20"/>
        </w:rPr>
        <w:tab/>
      </w:r>
      <w:r>
        <w:rPr>
          <w:rFonts w:ascii="Arial" w:hAnsi="Arial"/>
          <w:sz w:val="20"/>
        </w:rPr>
        <w:tab/>
      </w:r>
      <w:r>
        <w:rPr>
          <w:rFonts w:ascii="Arial" w:hAnsi="Arial"/>
          <w:sz w:val="20"/>
        </w:rPr>
        <w:tab/>
      </w:r>
      <w:r w:rsidR="00487FAF">
        <w:rPr>
          <w:rFonts w:ascii="Arial" w:hAnsi="Arial"/>
          <w:sz w:val="20"/>
        </w:rPr>
        <w:t>0.</w:t>
      </w:r>
      <w:r w:rsidR="001F1285">
        <w:rPr>
          <w:rFonts w:ascii="Arial" w:hAnsi="Arial"/>
          <w:sz w:val="20"/>
        </w:rPr>
        <w:t>5060</w:t>
      </w:r>
      <w:r>
        <w:rPr>
          <w:rFonts w:ascii="Arial" w:hAnsi="Arial"/>
          <w:sz w:val="20"/>
        </w:rPr>
        <w:t>%</w:t>
      </w:r>
    </w:p>
    <w:p w:rsidR="00B73220" w:rsidP="00580E11" w14:paraId="5701BB3D" w14:textId="77777777">
      <w:pPr>
        <w:tabs>
          <w:tab w:val="left" w:pos="600"/>
          <w:tab w:val="left" w:pos="1440"/>
          <w:tab w:val="left" w:pos="2040"/>
          <w:tab w:val="left" w:pos="3000"/>
          <w:tab w:val="left" w:pos="4320"/>
          <w:tab w:val="left" w:pos="5760"/>
          <w:tab w:val="right" w:pos="8280"/>
        </w:tabs>
        <w:ind w:left="1440" w:firstLine="630"/>
        <w:jc w:val="both"/>
        <w:rPr>
          <w:rFonts w:ascii="Arial" w:hAnsi="Arial"/>
          <w:color w:val="auto"/>
          <w:sz w:val="20"/>
          <w:shd w:val="clear" w:color="auto" w:fill="auto"/>
        </w:rPr>
      </w:pPr>
      <w:r>
        <w:rPr>
          <w:rFonts w:ascii="Arial" w:hAnsi="Arial"/>
          <w:sz w:val="20"/>
        </w:rPr>
        <w:t>Wholesale Service</w:t>
      </w:r>
      <w:r w:rsidR="00A66113">
        <w:rPr>
          <w:rFonts w:ascii="Arial" w:hAnsi="Arial"/>
          <w:sz w:val="20"/>
        </w:rPr>
        <w:tab/>
      </w:r>
    </w:p>
    <w:p w:rsidR="00B73220" w:rsidP="00580E11" w14:paraId="7878F324" w14:textId="416A6DDD">
      <w:pPr>
        <w:tabs>
          <w:tab w:val="left" w:pos="600"/>
          <w:tab w:val="left" w:pos="1440"/>
          <w:tab w:val="left" w:pos="2040"/>
          <w:tab w:val="left" w:pos="3000"/>
          <w:tab w:val="left" w:pos="4320"/>
          <w:tab w:val="left" w:pos="5760"/>
          <w:tab w:val="right" w:pos="8280"/>
        </w:tabs>
        <w:ind w:left="1440" w:firstLine="630"/>
        <w:jc w:val="both"/>
        <w:rPr>
          <w:rFonts w:ascii="Arial" w:hAnsi="Arial"/>
          <w:color w:val="auto"/>
          <w:sz w:val="20"/>
          <w:shd w:val="clear" w:color="auto" w:fill="auto"/>
        </w:rPr>
      </w:pPr>
      <w:r>
        <w:rPr>
          <w:rFonts w:ascii="Arial" w:hAnsi="Arial"/>
          <w:sz w:val="20"/>
        </w:rPr>
        <w:tab/>
        <w:t>Substation</w:t>
      </w:r>
      <w:r w:rsidR="00833DA2">
        <w:rPr>
          <w:rFonts w:ascii="Arial" w:hAnsi="Arial"/>
          <w:sz w:val="20"/>
        </w:rPr>
        <w:tab/>
      </w:r>
      <w:r w:rsidR="00833DA2">
        <w:rPr>
          <w:rFonts w:ascii="Arial" w:hAnsi="Arial"/>
          <w:sz w:val="20"/>
        </w:rPr>
        <w:tab/>
      </w:r>
      <w:r w:rsidR="00833DA2">
        <w:rPr>
          <w:rFonts w:ascii="Arial" w:hAnsi="Arial"/>
          <w:sz w:val="20"/>
        </w:rPr>
        <w:tab/>
      </w:r>
      <w:r w:rsidR="00487FAF">
        <w:rPr>
          <w:rFonts w:ascii="Arial" w:hAnsi="Arial"/>
          <w:sz w:val="20"/>
        </w:rPr>
        <w:t>0.06</w:t>
      </w:r>
      <w:r w:rsidR="001F1285">
        <w:rPr>
          <w:rFonts w:ascii="Arial" w:hAnsi="Arial"/>
          <w:sz w:val="20"/>
        </w:rPr>
        <w:t>38</w:t>
      </w:r>
      <w:r w:rsidR="00A66113">
        <w:rPr>
          <w:rFonts w:ascii="Arial" w:hAnsi="Arial"/>
          <w:sz w:val="20"/>
        </w:rPr>
        <w:t>%</w:t>
      </w:r>
      <w:r w:rsidR="00A66113">
        <w:rPr>
          <w:rFonts w:ascii="Arial" w:hAnsi="Arial"/>
          <w:sz w:val="20"/>
        </w:rPr>
        <w:tab/>
      </w:r>
      <w:r w:rsidR="00A66113">
        <w:rPr>
          <w:rFonts w:ascii="Arial" w:hAnsi="Arial"/>
          <w:sz w:val="20"/>
        </w:rPr>
        <w:tab/>
      </w:r>
    </w:p>
    <w:p w:rsidR="001F33C7" w:rsidP="00833DA2" w14:paraId="5314A011" w14:textId="304C230C">
      <w:pPr>
        <w:tabs>
          <w:tab w:val="left" w:pos="600"/>
          <w:tab w:val="left" w:pos="1440"/>
          <w:tab w:val="left" w:pos="2040"/>
          <w:tab w:val="left" w:pos="3000"/>
          <w:tab w:val="left" w:pos="4320"/>
          <w:tab w:val="left" w:pos="5760"/>
          <w:tab w:val="right" w:pos="8280"/>
        </w:tabs>
        <w:ind w:left="1440" w:firstLine="630"/>
        <w:jc w:val="both"/>
        <w:rPr>
          <w:rFonts w:ascii="Arial" w:hAnsi="Arial"/>
          <w:color w:val="auto"/>
          <w:sz w:val="20"/>
          <w:shd w:val="clear" w:color="auto" w:fill="auto"/>
        </w:rPr>
      </w:pPr>
      <w:r>
        <w:rPr>
          <w:rFonts w:ascii="Arial" w:hAnsi="Arial"/>
          <w:sz w:val="20"/>
        </w:rPr>
        <w:tab/>
        <w:t>Distribution Line</w:t>
      </w:r>
      <w:r>
        <w:rPr>
          <w:rFonts w:ascii="Arial" w:hAnsi="Arial"/>
          <w:sz w:val="20"/>
        </w:rPr>
        <w:tab/>
      </w:r>
      <w:r>
        <w:rPr>
          <w:rFonts w:ascii="Arial" w:hAnsi="Arial"/>
          <w:sz w:val="20"/>
        </w:rPr>
        <w:tab/>
      </w:r>
      <w:r w:rsidR="00487FAF">
        <w:rPr>
          <w:rFonts w:ascii="Arial" w:hAnsi="Arial"/>
          <w:sz w:val="20"/>
        </w:rPr>
        <w:t>0.28</w:t>
      </w:r>
      <w:r w:rsidR="00720997">
        <w:rPr>
          <w:rFonts w:ascii="Arial" w:hAnsi="Arial"/>
          <w:sz w:val="20"/>
        </w:rPr>
        <w:t>6</w:t>
      </w:r>
      <w:r w:rsidR="001F1285">
        <w:rPr>
          <w:rFonts w:ascii="Arial" w:hAnsi="Arial"/>
          <w:sz w:val="20"/>
        </w:rPr>
        <w:t>3</w:t>
      </w:r>
      <w:r w:rsidR="00A66113">
        <w:rPr>
          <w:rFonts w:ascii="Arial" w:hAnsi="Arial"/>
          <w:sz w:val="20"/>
        </w:rPr>
        <w:t>%</w:t>
      </w:r>
      <w:bookmarkEnd w:id="0"/>
      <w:r w:rsidR="00A66113">
        <w:rPr>
          <w:rFonts w:ascii="Arial" w:hAnsi="Arial"/>
          <w:sz w:val="20"/>
        </w:rPr>
        <w:tab/>
      </w:r>
    </w:p>
    <w:p w:rsidR="001F33C7" w:rsidP="00580E11" w14:paraId="594D8CE8"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p>
    <w:p w:rsidR="001F33C7" w:rsidP="00580E11" w14:paraId="0F238D3B"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p>
    <w:p w:rsidR="001E6678" w:rsidP="00580E11" w14:paraId="61EDC7F4"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r>
        <w:rPr>
          <w:rFonts w:ascii="Arial" w:hAnsi="Arial"/>
          <w:sz w:val="20"/>
        </w:rPr>
        <w:t>BD</w:t>
      </w:r>
      <w:r>
        <w:rPr>
          <w:rFonts w:ascii="Arial" w:hAnsi="Arial"/>
          <w:sz w:val="20"/>
          <w:vertAlign w:val="subscript"/>
        </w:rPr>
        <w:t>C-CLASS</w:t>
      </w:r>
      <w:r>
        <w:rPr>
          <w:rFonts w:ascii="Arial" w:hAnsi="Arial"/>
          <w:sz w:val="20"/>
        </w:rPr>
        <w:t xml:space="preserve"> =</w:t>
      </w:r>
      <w:r>
        <w:rPr>
          <w:rFonts w:ascii="Arial" w:hAnsi="Arial"/>
          <w:sz w:val="20"/>
        </w:rPr>
        <w:tab/>
        <w:t>Rate Class Billing Determinants (weather-normalized and adjusted to reflect the number of customers at the end of the period) for the 12 months ending on the date used for purposes of determining the Current Net Distribution Invested Capital.  For customer classes billed primarily on the basis of kilowatt-hour billing determinants, the DCRF shall be calculated using kilowatt-hour billing determinants.  For customer classes billed primarily on the basis of demand billing determinants, the DCRF shall be calculated using demand billing determinants.</w:t>
      </w:r>
    </w:p>
    <w:p w:rsidR="001E6678" w:rsidP="00580E11" w14:paraId="7A1CCC54"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p>
    <w:p w:rsidR="001E6678" w:rsidRPr="001E6678" w:rsidP="00580E11" w14:paraId="3DD7B9E9" w14:textId="77777777">
      <w:pPr>
        <w:tabs>
          <w:tab w:val="left" w:pos="600"/>
          <w:tab w:val="left" w:pos="1440"/>
          <w:tab w:val="left" w:pos="2040"/>
          <w:tab w:val="left" w:pos="3000"/>
          <w:tab w:val="left" w:pos="4320"/>
          <w:tab w:val="left" w:pos="5760"/>
          <w:tab w:val="left" w:pos="6720"/>
        </w:tabs>
        <w:ind w:left="2040" w:hanging="1440"/>
        <w:jc w:val="both"/>
        <w:rPr>
          <w:rFonts w:ascii="Arial" w:hAnsi="Arial"/>
          <w:color w:val="auto"/>
          <w:sz w:val="20"/>
          <w:shd w:val="clear" w:color="auto" w:fill="auto"/>
        </w:rPr>
      </w:pPr>
      <w:r>
        <w:rPr>
          <w:rFonts w:ascii="Arial" w:hAnsi="Arial"/>
          <w:sz w:val="20"/>
        </w:rPr>
        <w:t>BD</w:t>
      </w:r>
      <w:r>
        <w:rPr>
          <w:rFonts w:ascii="Arial" w:hAnsi="Arial"/>
          <w:sz w:val="20"/>
          <w:vertAlign w:val="subscript"/>
        </w:rPr>
        <w:t>RC-CLASS</w:t>
      </w:r>
      <w:r>
        <w:rPr>
          <w:rFonts w:ascii="Arial" w:hAnsi="Arial"/>
          <w:sz w:val="20"/>
        </w:rPr>
        <w:t xml:space="preserve"> =</w:t>
      </w:r>
      <w:r>
        <w:rPr>
          <w:rFonts w:ascii="Arial" w:hAnsi="Arial"/>
          <w:sz w:val="20"/>
        </w:rPr>
        <w:tab/>
        <w:t>Rate Class Billing Determinants used to set rates in the last comprehensive base-rate proceeding.</w:t>
      </w:r>
    </w:p>
    <w:p w:rsidR="00FA0A8C" w14:paraId="1804022E" w14:textId="77777777">
      <w:pPr>
        <w:pStyle w:val="Heading3"/>
        <w:spacing w:line="180" w:lineRule="auto"/>
        <w:rPr>
          <w:color w:val="auto"/>
          <w:shd w:val="clear" w:color="auto" w:fill="auto"/>
        </w:rPr>
      </w:pPr>
    </w:p>
    <w:p w:rsidR="00FA0A8C" w14:paraId="6CD44CB7" w14:textId="77777777">
      <w:pPr>
        <w:pStyle w:val="Heading3"/>
        <w:rPr>
          <w:color w:val="auto"/>
          <w:shd w:val="clear" w:color="auto" w:fill="auto"/>
        </w:rPr>
      </w:pPr>
      <w:r>
        <w:t>NOTICE</w:t>
      </w:r>
    </w:p>
    <w:p w:rsidR="00FA0A8C" w:rsidP="00933D03" w14:paraId="278FF68D" w14:textId="77777777">
      <w:pPr>
        <w:tabs>
          <w:tab w:val="left" w:pos="600"/>
          <w:tab w:val="left" w:pos="1440"/>
          <w:tab w:val="left" w:pos="2040"/>
          <w:tab w:val="left" w:pos="3000"/>
          <w:tab w:val="left" w:pos="4320"/>
          <w:tab w:val="left" w:pos="5760"/>
          <w:tab w:val="left" w:pos="6720"/>
        </w:tabs>
        <w:ind w:left="2045" w:hanging="2045"/>
        <w:rPr>
          <w:rFonts w:ascii="Arial" w:hAnsi="Arial"/>
          <w:color w:val="auto"/>
          <w:sz w:val="20"/>
          <w:shd w:val="clear" w:color="auto" w:fill="auto"/>
        </w:rPr>
        <w:sectPr w:rsidSect="00FB3D5C">
          <w:headerReference w:type="even" r:id="rId4"/>
          <w:headerReference w:type="default" r:id="rId5"/>
          <w:endnotePr>
            <w:numFmt w:val="decimal"/>
          </w:endnotePr>
          <w:pgSz w:w="12240" w:h="15840" w:code="1"/>
          <w:pgMar w:top="1440" w:right="1440" w:bottom="360" w:left="1440" w:header="360" w:footer="432" w:gutter="0"/>
          <w:cols w:space="720"/>
          <w:noEndnote/>
          <w:docGrid w:linePitch="326"/>
        </w:sectPr>
      </w:pPr>
      <w:r>
        <w:rPr>
          <w:rFonts w:ascii="Arial" w:hAnsi="Arial"/>
          <w:sz w:val="20"/>
        </w:rPr>
        <w:t>This rate schedule is subject to the Company’s Tariff and Applicable Legal Authorities.</w:t>
      </w:r>
    </w:p>
    <w:p w:rsidR="00CB01FA" w14:paraId="58F2529E" w14:textId="348EF3B7">
      <w:pPr>
        <w:widowControl/>
        <w:rPr>
          <w:rFonts w:ascii="Arial" w:hAnsi="Arial"/>
          <w:color w:val="auto"/>
          <w:sz w:val="18"/>
          <w:szCs w:val="18"/>
          <w:u w:val="single"/>
          <w:shd w:val="clear" w:color="auto" w:fill="auto"/>
        </w:rPr>
      </w:pPr>
      <w:r>
        <w:rPr>
          <w:rFonts w:ascii="Arial" w:hAnsi="Arial"/>
          <w:sz w:val="18"/>
          <w:szCs w:val="18"/>
          <w:u w:val="single"/>
        </w:rPr>
        <w:br w:type="page"/>
      </w:r>
    </w:p>
    <w:p w:rsidR="00580E11" w:rsidP="007C3B15" w14:paraId="6358579B" w14:textId="1BA2FFFD">
      <w:pPr>
        <w:ind w:left="1710" w:hanging="1710"/>
        <w:rPr>
          <w:rFonts w:ascii="Arial" w:hAnsi="Arial"/>
          <w:color w:val="auto"/>
          <w:sz w:val="18"/>
          <w:szCs w:val="18"/>
          <w:u w:val="single"/>
          <w:shd w:val="clear" w:color="auto" w:fill="auto"/>
        </w:rPr>
      </w:pPr>
      <w:r w:rsidRPr="000B6C6D">
        <w:rPr>
          <w:rFonts w:ascii="Arial" w:hAnsi="Arial"/>
          <w:b/>
          <w:noProof/>
          <w:sz w:val="16"/>
          <w:szCs w:val="16"/>
        </w:rPr>
        <mc:AlternateContent>
          <mc:Choice Requires="wps">
            <w:drawing>
              <wp:anchor distT="45720" distB="45720" distL="114300" distR="114300" simplePos="0" relativeHeight="251662336" behindDoc="0" locked="0" layoutInCell="1" allowOverlap="1">
                <wp:simplePos x="0" y="0"/>
                <wp:positionH relativeFrom="column">
                  <wp:posOffset>4937760</wp:posOffset>
                </wp:positionH>
                <wp:positionV relativeFrom="page">
                  <wp:posOffset>146077</wp:posOffset>
                </wp:positionV>
                <wp:extent cx="1184275" cy="275590"/>
                <wp:effectExtent l="0" t="0" r="0" b="0"/>
                <wp:wrapSquare wrapText="bothSides"/>
                <wp:docPr id="6"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184275" cy="275590"/>
                        </a:xfrm>
                        <a:prstGeom prst="rect">
                          <a:avLst/>
                        </a:prstGeom>
                        <a:solidFill>
                          <a:srgbClr val="FFFFFF"/>
                        </a:solidFill>
                        <a:ln w="9525">
                          <a:noFill/>
                          <a:miter lim="800000"/>
                          <a:headEnd/>
                          <a:tailEnd/>
                        </a:ln>
                      </wps:spPr>
                      <wps:txbx>
                        <w:txbxContent>
                          <w:p w:rsidR="000B6C6D" w:rsidRPr="000B6C6D" w:rsidP="000B6C6D" w14:textId="77777777">
                            <w:pPr>
                              <w:rPr>
                                <w:rFonts w:ascii="Arial" w:hAnsi="Arial" w:cs="Arial"/>
                                <w:color w:val="auto"/>
                                <w:shd w:val="clear" w:color="auto" w:fill="auto"/>
                              </w:rPr>
                            </w:pPr>
                            <w:r w:rsidRPr="000B6C6D">
                              <w:rPr>
                                <w:rFonts w:ascii="Arial" w:hAnsi="Arial" w:cs="Arial"/>
                              </w:rPr>
                              <w:t>Exhibit MAT-4</w:t>
                            </w:r>
                          </w:p>
                        </w:txbxContent>
                      </wps:txbx>
                      <wps:bodyPr rot="0" vert="horz" wrap="square" anchor="t" anchorCtr="0">
                        <a:spAutoFit/>
                      </wps:bodyPr>
                    </wps:wsp>
                  </a:graphicData>
                </a:graphic>
                <wp14:sizeRelH relativeFrom="margin">
                  <wp14:pctWidth>0</wp14:pctWidth>
                </wp14:sizeRelH>
                <wp14:sizeRelV relativeFrom="margin">
                  <wp14:pctHeight>0</wp14:pctHeight>
                </wp14:sizeRelV>
              </wp:anchor>
            </w:drawing>
          </mc:Choice>
          <mc:Fallback>
            <w:pict>
              <v:shape id="_x0000_s1027" type="#_x0000_t202" style="width:93.25pt;height:21.7pt;margin-top:11.5pt;margin-left:388.8pt;mso-height-percent:0;mso-height-relative:margin;mso-position-vertical-relative:page;mso-width-percent:0;mso-width-relative:margin;mso-wrap-distance-bottom:3.6pt;mso-wrap-distance-left:9pt;mso-wrap-distance-right:9pt;mso-wrap-distance-top:3.6pt;mso-wrap-style:square;position:absolute;visibility:visible;v-text-anchor:top;z-index:251663360" stroked="f">
                <v:textbox style="mso-fit-shape-to-text:t">
                  <w:txbxContent>
                    <w:p w:rsidR="000B6C6D" w:rsidRPr="000B6C6D" w:rsidP="000B6C6D" w14:paraId="2A2F42D6" w14:textId="77777777">
                      <w:pPr>
                        <w:rPr>
                          <w:rFonts w:ascii="Arial" w:hAnsi="Arial" w:cs="Arial"/>
                        </w:rPr>
                      </w:pPr>
                      <w:r w:rsidRPr="000B6C6D">
                        <w:rPr>
                          <w:rFonts w:ascii="Arial" w:hAnsi="Arial" w:cs="Arial"/>
                        </w:rPr>
                        <w:t>Exhibit MAT-4</w:t>
                      </w:r>
                    </w:p>
                  </w:txbxContent>
                </v:textbox>
                <w10:wrap type="square"/>
              </v:shape>
            </w:pict>
          </mc:Fallback>
        </mc:AlternateContent>
      </w:r>
    </w:p>
    <w:p w:rsidR="00FA0A8C" w:rsidRPr="006C133E" w:rsidP="007C3B15" w14:paraId="4F25B7D7" w14:textId="77777777">
      <w:pPr>
        <w:ind w:left="1710" w:hanging="1710"/>
        <w:rPr>
          <w:rFonts w:ascii="Arial" w:hAnsi="Arial"/>
          <w:color w:val="auto"/>
          <w:sz w:val="18"/>
          <w:szCs w:val="18"/>
          <w:u w:val="single"/>
          <w:shd w:val="clear" w:color="auto" w:fill="auto"/>
        </w:rPr>
      </w:pPr>
      <w:r>
        <w:rPr>
          <w:rFonts w:ascii="Arial" w:hAnsi="Arial"/>
          <w:sz w:val="18"/>
          <w:szCs w:val="18"/>
          <w:u w:val="single"/>
        </w:rPr>
        <w:t>Distribution</w:t>
      </w:r>
      <w:r w:rsidRPr="006C133E">
        <w:rPr>
          <w:rFonts w:ascii="Arial" w:hAnsi="Arial"/>
          <w:sz w:val="18"/>
          <w:szCs w:val="18"/>
          <w:u w:val="single"/>
        </w:rPr>
        <w:t xml:space="preserve"> Cost Recovery Factor (</w:t>
      </w:r>
      <w:r w:rsidR="00B73220">
        <w:rPr>
          <w:rFonts w:ascii="Arial" w:hAnsi="Arial"/>
          <w:sz w:val="18"/>
          <w:szCs w:val="18"/>
          <w:u w:val="single"/>
        </w:rPr>
        <w:t>D</w:t>
      </w:r>
      <w:r w:rsidRPr="006C133E">
        <w:rPr>
          <w:rFonts w:ascii="Arial" w:hAnsi="Arial"/>
          <w:sz w:val="18"/>
          <w:szCs w:val="18"/>
          <w:u w:val="single"/>
        </w:rPr>
        <w:t>CRF)</w:t>
      </w:r>
    </w:p>
    <w:p w:rsidR="00FA0A8C" w:rsidP="007C3B15" w14:paraId="750A8779" w14:textId="20C3EFB3">
      <w:pPr>
        <w:pStyle w:val="BodyTextIndent"/>
        <w:ind w:firstLine="0"/>
        <w:jc w:val="center"/>
        <w:rPr>
          <w:rFonts w:ascii="Arial" w:hAnsi="Arial"/>
          <w:color w:val="auto"/>
          <w:sz w:val="20"/>
          <w:u w:val="single"/>
          <w:shd w:val="clear" w:color="auto" w:fill="auto"/>
        </w:rPr>
      </w:pPr>
    </w:p>
    <w:tbl>
      <w:tblPr>
        <w:tblW w:w="10012" w:type="dxa"/>
        <w:tblInd w:w="-65" w:type="dxa"/>
        <w:tblLayout w:type="fixed"/>
        <w:tblCellMar>
          <w:left w:w="115" w:type="dxa"/>
          <w:right w:w="115" w:type="dxa"/>
        </w:tblCellMar>
        <w:tblLook w:val="01E0"/>
      </w:tblPr>
      <w:tblGrid>
        <w:gridCol w:w="1258"/>
        <w:gridCol w:w="1094"/>
        <w:gridCol w:w="1094"/>
        <w:gridCol w:w="1095"/>
        <w:gridCol w:w="1094"/>
        <w:gridCol w:w="1094"/>
        <w:gridCol w:w="1095"/>
        <w:gridCol w:w="1176"/>
        <w:gridCol w:w="1012"/>
      </w:tblGrid>
      <w:tr w14:paraId="4A9F21BC" w14:textId="77777777" w:rsidTr="00D46D62">
        <w:tblPrEx>
          <w:tblW w:w="10012" w:type="dxa"/>
          <w:tblInd w:w="-65" w:type="dxa"/>
          <w:tblLayout w:type="fixed"/>
          <w:tblCellMar>
            <w:left w:w="115" w:type="dxa"/>
            <w:right w:w="115" w:type="dxa"/>
          </w:tblCellMar>
          <w:tblLook w:val="01E0"/>
        </w:tblPrEx>
        <w:tc>
          <w:tcPr>
            <w:tcW w:w="1258" w:type="dxa"/>
            <w:tcBorders>
              <w:right w:val="single" w:sz="12" w:space="0" w:color="auto"/>
            </w:tcBorders>
          </w:tcPr>
          <w:p w:rsidR="004B220F" w:rsidRPr="007436BD" w:rsidP="007436BD" w14:paraId="2FFC1B07" w14:textId="77777777">
            <w:pPr>
              <w:jc w:val="center"/>
              <w:rPr>
                <w:rFonts w:ascii="Arial" w:hAnsi="Arial" w:cs="Arial"/>
                <w:color w:val="auto"/>
                <w:sz w:val="16"/>
                <w:szCs w:val="16"/>
                <w:u w:val="single"/>
                <w:shd w:val="clear" w:color="auto" w:fill="auto"/>
              </w:rPr>
            </w:pPr>
          </w:p>
        </w:tc>
        <w:tc>
          <w:tcPr>
            <w:tcW w:w="1094" w:type="dxa"/>
            <w:vMerge w:val="restart"/>
            <w:tcBorders>
              <w:top w:val="single" w:sz="12" w:space="0" w:color="auto"/>
              <w:left w:val="single" w:sz="12" w:space="0" w:color="auto"/>
            </w:tcBorders>
          </w:tcPr>
          <w:p w:rsidR="004B220F" w:rsidRPr="00B830D4" w:rsidP="00B830D4" w14:paraId="75A5AEEF" w14:textId="77777777">
            <w:pPr>
              <w:jc w:val="center"/>
              <w:rPr>
                <w:rFonts w:ascii="Arial" w:hAnsi="Arial" w:cs="Arial"/>
                <w:b/>
                <w:color w:val="auto"/>
                <w:sz w:val="16"/>
                <w:szCs w:val="16"/>
                <w:shd w:val="clear" w:color="auto" w:fill="auto"/>
              </w:rPr>
            </w:pPr>
            <w:r w:rsidRPr="00B830D4">
              <w:rPr>
                <w:rFonts w:ascii="Arial" w:hAnsi="Arial" w:cs="Arial"/>
                <w:b/>
                <w:sz w:val="16"/>
                <w:szCs w:val="16"/>
              </w:rPr>
              <w:t>Residential Service</w:t>
            </w:r>
          </w:p>
        </w:tc>
        <w:tc>
          <w:tcPr>
            <w:tcW w:w="2189" w:type="dxa"/>
            <w:gridSpan w:val="2"/>
            <w:tcBorders>
              <w:top w:val="single" w:sz="12" w:space="0" w:color="auto"/>
            </w:tcBorders>
          </w:tcPr>
          <w:p w:rsidR="004B220F" w:rsidRPr="007436BD" w:rsidP="002461DE" w14:paraId="70350D65" w14:textId="77777777">
            <w:pPr>
              <w:jc w:val="center"/>
              <w:rPr>
                <w:rFonts w:ascii="Arial" w:hAnsi="Arial" w:cs="Arial"/>
                <w:b/>
                <w:color w:val="auto"/>
                <w:sz w:val="16"/>
                <w:szCs w:val="16"/>
                <w:shd w:val="clear" w:color="auto" w:fill="auto"/>
              </w:rPr>
            </w:pPr>
            <w:r>
              <w:rPr>
                <w:rFonts w:ascii="Arial" w:hAnsi="Arial" w:cs="Arial"/>
                <w:b/>
                <w:sz w:val="16"/>
                <w:szCs w:val="16"/>
              </w:rPr>
              <w:t>Secondary Service</w:t>
            </w:r>
          </w:p>
        </w:tc>
        <w:tc>
          <w:tcPr>
            <w:tcW w:w="3283" w:type="dxa"/>
            <w:gridSpan w:val="3"/>
            <w:tcBorders>
              <w:top w:val="single" w:sz="12" w:space="0" w:color="auto"/>
            </w:tcBorders>
          </w:tcPr>
          <w:p w:rsidR="004B220F" w:rsidRPr="007436BD" w:rsidP="002461DE" w14:paraId="3E4FBE39" w14:textId="77777777">
            <w:pPr>
              <w:jc w:val="center"/>
              <w:rPr>
                <w:rFonts w:ascii="Arial" w:hAnsi="Arial" w:cs="Arial"/>
                <w:b/>
                <w:color w:val="auto"/>
                <w:sz w:val="16"/>
                <w:szCs w:val="16"/>
                <w:shd w:val="clear" w:color="auto" w:fill="auto"/>
              </w:rPr>
            </w:pPr>
            <w:r w:rsidRPr="007436BD">
              <w:rPr>
                <w:rFonts w:ascii="Arial" w:hAnsi="Arial" w:cs="Arial"/>
                <w:b/>
                <w:sz w:val="16"/>
                <w:szCs w:val="16"/>
              </w:rPr>
              <w:t>Primary Service</w:t>
            </w:r>
          </w:p>
        </w:tc>
        <w:tc>
          <w:tcPr>
            <w:tcW w:w="1176" w:type="dxa"/>
            <w:tcBorders>
              <w:top w:val="single" w:sz="12" w:space="0" w:color="auto"/>
            </w:tcBorders>
            <w:tcMar>
              <w:left w:w="43" w:type="dxa"/>
              <w:right w:w="43" w:type="dxa"/>
            </w:tcMar>
          </w:tcPr>
          <w:p w:rsidR="004B220F" w:rsidRPr="00B830D4" w:rsidP="00B830D4" w14:paraId="14416527" w14:textId="77777777">
            <w:pPr>
              <w:jc w:val="center"/>
              <w:rPr>
                <w:rFonts w:ascii="Arial" w:hAnsi="Arial" w:cs="Arial"/>
                <w:b/>
                <w:color w:val="auto"/>
                <w:sz w:val="16"/>
                <w:szCs w:val="16"/>
                <w:shd w:val="clear" w:color="auto" w:fill="auto"/>
              </w:rPr>
            </w:pPr>
            <w:r w:rsidRPr="00B830D4">
              <w:rPr>
                <w:rFonts w:ascii="Arial" w:hAnsi="Arial" w:cs="Arial"/>
                <w:b/>
                <w:sz w:val="16"/>
                <w:szCs w:val="16"/>
              </w:rPr>
              <w:t>Transmission</w:t>
            </w:r>
          </w:p>
          <w:p w:rsidR="004B220F" w:rsidRPr="00B830D4" w:rsidP="00B830D4" w14:paraId="2BD257D8" w14:textId="77777777">
            <w:pPr>
              <w:jc w:val="center"/>
              <w:rPr>
                <w:rFonts w:ascii="Arial" w:hAnsi="Arial" w:cs="Arial"/>
                <w:b/>
                <w:color w:val="auto"/>
                <w:sz w:val="16"/>
                <w:szCs w:val="16"/>
                <w:shd w:val="clear" w:color="auto" w:fill="auto"/>
              </w:rPr>
            </w:pPr>
            <w:r w:rsidRPr="00B830D4">
              <w:rPr>
                <w:rFonts w:ascii="Arial" w:hAnsi="Arial" w:cs="Arial"/>
                <w:b/>
                <w:sz w:val="16"/>
                <w:szCs w:val="16"/>
              </w:rPr>
              <w:t>Service</w:t>
            </w:r>
          </w:p>
        </w:tc>
        <w:tc>
          <w:tcPr>
            <w:tcW w:w="1012" w:type="dxa"/>
            <w:tcBorders>
              <w:top w:val="single" w:sz="12" w:space="0" w:color="auto"/>
              <w:right w:val="single" w:sz="12" w:space="0" w:color="auto"/>
            </w:tcBorders>
          </w:tcPr>
          <w:p w:rsidR="004B220F" w:rsidRPr="00B830D4" w:rsidP="00B830D4" w14:paraId="3F80C8AB" w14:textId="77777777">
            <w:pPr>
              <w:jc w:val="center"/>
              <w:rPr>
                <w:rFonts w:ascii="Arial" w:hAnsi="Arial" w:cs="Arial"/>
                <w:b/>
                <w:color w:val="auto"/>
                <w:sz w:val="16"/>
                <w:szCs w:val="16"/>
                <w:shd w:val="clear" w:color="auto" w:fill="auto"/>
              </w:rPr>
            </w:pPr>
            <w:r>
              <w:rPr>
                <w:rFonts w:ascii="Arial" w:hAnsi="Arial" w:cs="Arial"/>
                <w:b/>
                <w:sz w:val="16"/>
                <w:szCs w:val="16"/>
              </w:rPr>
              <w:t>Lighting Service</w:t>
            </w:r>
          </w:p>
        </w:tc>
      </w:tr>
      <w:tr w14:paraId="583CCCEB" w14:textId="77777777" w:rsidTr="00D46D62">
        <w:tblPrEx>
          <w:tblW w:w="10012" w:type="dxa"/>
          <w:tblInd w:w="-65" w:type="dxa"/>
          <w:tblLayout w:type="fixed"/>
          <w:tblCellMar>
            <w:left w:w="115" w:type="dxa"/>
            <w:right w:w="115" w:type="dxa"/>
          </w:tblCellMar>
          <w:tblLook w:val="01E0"/>
        </w:tblPrEx>
        <w:trPr>
          <w:trHeight w:val="216"/>
        </w:trPr>
        <w:tc>
          <w:tcPr>
            <w:tcW w:w="1258" w:type="dxa"/>
            <w:tcBorders>
              <w:right w:val="single" w:sz="12" w:space="0" w:color="auto"/>
            </w:tcBorders>
          </w:tcPr>
          <w:p w:rsidR="004B220F" w:rsidRPr="007436BD" w:rsidP="007436BD" w14:paraId="55DE0C6D" w14:textId="77777777">
            <w:pPr>
              <w:jc w:val="center"/>
              <w:rPr>
                <w:rFonts w:ascii="Arial" w:hAnsi="Arial" w:cs="Arial"/>
                <w:color w:val="auto"/>
                <w:sz w:val="16"/>
                <w:szCs w:val="16"/>
                <w:u w:val="single"/>
                <w:shd w:val="clear" w:color="auto" w:fill="auto"/>
              </w:rPr>
            </w:pPr>
          </w:p>
        </w:tc>
        <w:tc>
          <w:tcPr>
            <w:tcW w:w="1094" w:type="dxa"/>
            <w:vMerge/>
            <w:tcBorders>
              <w:left w:val="single" w:sz="12" w:space="0" w:color="auto"/>
            </w:tcBorders>
            <w:vAlign w:val="bottom"/>
          </w:tcPr>
          <w:p w:rsidR="004B220F" w:rsidRPr="007436BD" w:rsidP="007436BD" w14:paraId="428F975A" w14:textId="77777777">
            <w:pPr>
              <w:jc w:val="center"/>
              <w:rPr>
                <w:rFonts w:ascii="Arial" w:hAnsi="Arial" w:cs="Arial"/>
                <w:color w:val="auto"/>
                <w:sz w:val="16"/>
                <w:szCs w:val="16"/>
                <w:shd w:val="clear" w:color="auto" w:fill="auto"/>
              </w:rPr>
            </w:pPr>
          </w:p>
        </w:tc>
        <w:tc>
          <w:tcPr>
            <w:tcW w:w="1094" w:type="dxa"/>
            <w:vAlign w:val="bottom"/>
          </w:tcPr>
          <w:p w:rsidR="004B220F" w:rsidRPr="007436BD" w:rsidP="00391C8E" w14:paraId="19AE24CD" w14:textId="77777777">
            <w:pPr>
              <w:jc w:val="center"/>
              <w:rPr>
                <w:rFonts w:ascii="Arial" w:hAnsi="Arial" w:cs="Arial"/>
                <w:color w:val="auto"/>
                <w:sz w:val="16"/>
                <w:szCs w:val="16"/>
                <w:u w:val="single"/>
                <w:shd w:val="clear" w:color="auto" w:fill="auto"/>
              </w:rPr>
            </w:pPr>
            <w:r w:rsidRPr="007436BD">
              <w:rPr>
                <w:rFonts w:ascii="Arial" w:hAnsi="Arial" w:cs="Arial"/>
                <w:sz w:val="16"/>
                <w:szCs w:val="16"/>
                <w:u w:val="single"/>
              </w:rPr>
              <w:t>≤ 10 kW</w:t>
            </w:r>
          </w:p>
        </w:tc>
        <w:tc>
          <w:tcPr>
            <w:tcW w:w="1095" w:type="dxa"/>
            <w:vAlign w:val="bottom"/>
          </w:tcPr>
          <w:p w:rsidR="004B220F" w:rsidRPr="00391C8E" w:rsidP="00391C8E" w14:paraId="48C67C6D" w14:textId="77777777">
            <w:pPr>
              <w:jc w:val="center"/>
              <w:rPr>
                <w:rFonts w:ascii="Arial" w:hAnsi="Arial" w:cs="Arial"/>
                <w:color w:val="auto"/>
                <w:sz w:val="16"/>
                <w:szCs w:val="16"/>
                <w:u w:val="single"/>
                <w:shd w:val="clear" w:color="auto" w:fill="auto"/>
              </w:rPr>
            </w:pPr>
            <w:r w:rsidRPr="00391C8E">
              <w:rPr>
                <w:rFonts w:ascii="Arial" w:hAnsi="Arial" w:cs="Arial"/>
                <w:sz w:val="16"/>
                <w:szCs w:val="16"/>
                <w:u w:val="single"/>
              </w:rPr>
              <w:t>&gt;10 kW</w:t>
            </w:r>
          </w:p>
        </w:tc>
        <w:tc>
          <w:tcPr>
            <w:tcW w:w="1094" w:type="dxa"/>
            <w:vAlign w:val="bottom"/>
          </w:tcPr>
          <w:p w:rsidR="004B220F" w:rsidRPr="007436BD" w:rsidP="00B830D4" w14:paraId="01A04508" w14:textId="616CBA7E">
            <w:pPr>
              <w:jc w:val="center"/>
              <w:rPr>
                <w:rFonts w:ascii="Arial" w:hAnsi="Arial" w:cs="Arial"/>
                <w:color w:val="auto"/>
                <w:sz w:val="16"/>
                <w:szCs w:val="16"/>
                <w:u w:val="single"/>
                <w:shd w:val="clear" w:color="auto" w:fill="auto"/>
              </w:rPr>
            </w:pPr>
            <w:r w:rsidRPr="007436BD">
              <w:rPr>
                <w:rFonts w:ascii="Arial" w:hAnsi="Arial" w:cs="Arial"/>
                <w:sz w:val="16"/>
                <w:szCs w:val="16"/>
                <w:u w:val="single"/>
              </w:rPr>
              <w:t>≤ 10 kW</w:t>
            </w:r>
          </w:p>
        </w:tc>
        <w:tc>
          <w:tcPr>
            <w:tcW w:w="1094" w:type="dxa"/>
            <w:vAlign w:val="bottom"/>
          </w:tcPr>
          <w:p w:rsidR="004B220F" w:rsidRPr="007436BD" w:rsidP="00B830D4" w14:paraId="7C84F8CD" w14:textId="77777777">
            <w:pPr>
              <w:jc w:val="center"/>
              <w:rPr>
                <w:rFonts w:ascii="Arial" w:hAnsi="Arial" w:cs="Arial"/>
                <w:color w:val="auto"/>
                <w:sz w:val="16"/>
                <w:szCs w:val="16"/>
                <w:shd w:val="clear" w:color="auto" w:fill="auto"/>
              </w:rPr>
            </w:pPr>
            <w:r w:rsidRPr="007436BD">
              <w:rPr>
                <w:rFonts w:ascii="Arial" w:hAnsi="Arial" w:cs="Arial"/>
                <w:sz w:val="16"/>
                <w:szCs w:val="16"/>
                <w:u w:val="single"/>
              </w:rPr>
              <w:t>&gt;10 kW Distribution Line</w:t>
            </w:r>
          </w:p>
        </w:tc>
        <w:tc>
          <w:tcPr>
            <w:tcW w:w="1095" w:type="dxa"/>
            <w:vAlign w:val="bottom"/>
          </w:tcPr>
          <w:p w:rsidR="004B220F" w:rsidRPr="007436BD" w:rsidP="00B830D4" w14:paraId="1449D9D2" w14:textId="77777777">
            <w:pPr>
              <w:jc w:val="center"/>
              <w:rPr>
                <w:rFonts w:ascii="Arial" w:hAnsi="Arial" w:cs="Arial"/>
                <w:color w:val="auto"/>
                <w:sz w:val="16"/>
                <w:szCs w:val="16"/>
                <w:shd w:val="clear" w:color="auto" w:fill="auto"/>
              </w:rPr>
            </w:pPr>
            <w:r w:rsidRPr="007436BD">
              <w:rPr>
                <w:rFonts w:ascii="Arial" w:hAnsi="Arial" w:cs="Arial"/>
                <w:sz w:val="16"/>
                <w:szCs w:val="16"/>
                <w:u w:val="single"/>
              </w:rPr>
              <w:t>Substation</w:t>
            </w:r>
          </w:p>
        </w:tc>
        <w:tc>
          <w:tcPr>
            <w:tcW w:w="1176" w:type="dxa"/>
            <w:vAlign w:val="bottom"/>
          </w:tcPr>
          <w:p w:rsidR="004B220F" w:rsidRPr="007436BD" w:rsidP="007436BD" w14:paraId="70360A5A" w14:textId="77777777">
            <w:pPr>
              <w:jc w:val="center"/>
              <w:rPr>
                <w:rFonts w:ascii="Arial" w:hAnsi="Arial" w:cs="Arial"/>
                <w:color w:val="auto"/>
                <w:sz w:val="16"/>
                <w:szCs w:val="16"/>
                <w:shd w:val="clear" w:color="auto" w:fill="auto"/>
              </w:rPr>
            </w:pPr>
          </w:p>
        </w:tc>
        <w:tc>
          <w:tcPr>
            <w:tcW w:w="1012" w:type="dxa"/>
            <w:tcBorders>
              <w:right w:val="single" w:sz="12" w:space="0" w:color="auto"/>
            </w:tcBorders>
          </w:tcPr>
          <w:p w:rsidR="004B220F" w:rsidRPr="007436BD" w:rsidP="007436BD" w14:paraId="64382052" w14:textId="77777777">
            <w:pPr>
              <w:jc w:val="center"/>
              <w:rPr>
                <w:rFonts w:ascii="Arial" w:hAnsi="Arial" w:cs="Arial"/>
                <w:color w:val="auto"/>
                <w:sz w:val="16"/>
                <w:szCs w:val="16"/>
                <w:shd w:val="clear" w:color="auto" w:fill="auto"/>
              </w:rPr>
            </w:pPr>
          </w:p>
        </w:tc>
      </w:tr>
      <w:tr w14:paraId="3F1EBA8A" w14:textId="77777777" w:rsidTr="00B054C6">
        <w:tblPrEx>
          <w:tblW w:w="10012" w:type="dxa"/>
          <w:tblInd w:w="-65" w:type="dxa"/>
          <w:tblLayout w:type="fixed"/>
          <w:tblCellMar>
            <w:left w:w="115" w:type="dxa"/>
            <w:right w:w="115" w:type="dxa"/>
          </w:tblCellMar>
          <w:tblLook w:val="01E0"/>
        </w:tblPrEx>
        <w:tc>
          <w:tcPr>
            <w:tcW w:w="1258" w:type="dxa"/>
            <w:tcBorders>
              <w:right w:val="single" w:sz="12" w:space="0" w:color="auto"/>
            </w:tcBorders>
            <w:tcMar>
              <w:left w:w="43" w:type="dxa"/>
              <w:right w:w="43" w:type="dxa"/>
            </w:tcMar>
            <w:vAlign w:val="bottom"/>
          </w:tcPr>
          <w:p w:rsidR="00D46D62" w:rsidP="00D46D62" w14:paraId="2F8E3920" w14:textId="77777777">
            <w:pPr>
              <w:pStyle w:val="BodyTextIndent"/>
              <w:tabs>
                <w:tab w:val="left" w:pos="5040"/>
              </w:tabs>
              <w:spacing w:line="240" w:lineRule="exact"/>
              <w:ind w:firstLine="0"/>
              <w:jc w:val="center"/>
              <w:rPr>
                <w:rFonts w:ascii="Arial" w:hAnsi="Arial"/>
                <w:color w:val="auto"/>
                <w:sz w:val="16"/>
                <w:szCs w:val="16"/>
                <w:shd w:val="clear" w:color="auto" w:fill="auto"/>
              </w:rPr>
            </w:pPr>
            <w:r w:rsidRPr="007436BD">
              <w:rPr>
                <w:rFonts w:ascii="Arial" w:hAnsi="Arial" w:cs="Arial"/>
                <w:sz w:val="16"/>
                <w:szCs w:val="16"/>
                <w:u w:val="single"/>
              </w:rPr>
              <w:t>Effective Date</w:t>
            </w:r>
          </w:p>
        </w:tc>
        <w:tc>
          <w:tcPr>
            <w:tcW w:w="1094" w:type="dxa"/>
            <w:tcBorders>
              <w:left w:val="single" w:sz="12" w:space="0" w:color="auto"/>
              <w:bottom w:val="single" w:sz="12" w:space="0" w:color="auto"/>
            </w:tcBorders>
            <w:vAlign w:val="bottom"/>
          </w:tcPr>
          <w:p w:rsidR="00D46D62" w:rsidRPr="004B220F" w:rsidP="00D46D62" w14:paraId="7E324DB9" w14:textId="77777777">
            <w:pPr>
              <w:jc w:val="center"/>
              <w:rPr>
                <w:rFonts w:ascii="Arial" w:hAnsi="Arial" w:cs="Arial"/>
                <w:color w:val="auto"/>
                <w:sz w:val="14"/>
                <w:szCs w:val="14"/>
                <w:shd w:val="clear" w:color="auto" w:fill="auto"/>
              </w:rPr>
            </w:pPr>
            <w:r w:rsidRPr="004B220F">
              <w:rPr>
                <w:rFonts w:ascii="Arial" w:hAnsi="Arial" w:cs="Arial"/>
                <w:sz w:val="14"/>
                <w:szCs w:val="14"/>
              </w:rPr>
              <w:t>($/kWh)</w:t>
            </w:r>
          </w:p>
        </w:tc>
        <w:tc>
          <w:tcPr>
            <w:tcW w:w="1094" w:type="dxa"/>
            <w:tcBorders>
              <w:bottom w:val="single" w:sz="12" w:space="0" w:color="auto"/>
            </w:tcBorders>
            <w:vAlign w:val="bottom"/>
          </w:tcPr>
          <w:p w:rsidR="00D46D62" w:rsidRPr="004B220F" w:rsidP="00D46D62" w14:paraId="6ADCAEE3" w14:textId="77777777">
            <w:pPr>
              <w:jc w:val="center"/>
              <w:rPr>
                <w:rFonts w:ascii="Arial" w:hAnsi="Arial" w:cs="Arial"/>
                <w:color w:val="auto"/>
                <w:sz w:val="14"/>
                <w:szCs w:val="14"/>
                <w:shd w:val="clear" w:color="auto" w:fill="auto"/>
              </w:rPr>
            </w:pPr>
            <w:r w:rsidRPr="004B220F">
              <w:rPr>
                <w:rFonts w:ascii="Arial" w:hAnsi="Arial" w:cs="Arial"/>
                <w:sz w:val="14"/>
                <w:szCs w:val="14"/>
              </w:rPr>
              <w:t>($/kWh)</w:t>
            </w:r>
          </w:p>
        </w:tc>
        <w:tc>
          <w:tcPr>
            <w:tcW w:w="1095" w:type="dxa"/>
            <w:tcBorders>
              <w:bottom w:val="single" w:sz="12" w:space="0" w:color="auto"/>
            </w:tcBorders>
            <w:vAlign w:val="bottom"/>
          </w:tcPr>
          <w:p w:rsidR="00D46D62" w:rsidRPr="004B220F" w:rsidP="00D46D62" w14:paraId="2F2E1DE5" w14:textId="77777777">
            <w:pPr>
              <w:jc w:val="center"/>
              <w:rPr>
                <w:rFonts w:ascii="Arial" w:hAnsi="Arial" w:cs="Arial"/>
                <w:color w:val="auto"/>
                <w:sz w:val="14"/>
                <w:szCs w:val="14"/>
                <w:shd w:val="clear" w:color="auto" w:fill="auto"/>
              </w:rPr>
            </w:pPr>
            <w:r w:rsidRPr="004B220F">
              <w:rPr>
                <w:rFonts w:ascii="Arial" w:hAnsi="Arial" w:cs="Arial"/>
                <w:sz w:val="14"/>
                <w:szCs w:val="14"/>
              </w:rPr>
              <w:t>($/Billing kW)</w:t>
            </w:r>
          </w:p>
        </w:tc>
        <w:tc>
          <w:tcPr>
            <w:tcW w:w="1094" w:type="dxa"/>
            <w:tcBorders>
              <w:bottom w:val="single" w:sz="12" w:space="0" w:color="auto"/>
            </w:tcBorders>
            <w:vAlign w:val="bottom"/>
          </w:tcPr>
          <w:p w:rsidR="00D46D62" w:rsidRPr="004B220F" w:rsidP="00D46D62" w14:paraId="173DB588" w14:textId="77777777">
            <w:pPr>
              <w:jc w:val="center"/>
              <w:rPr>
                <w:rFonts w:ascii="Arial" w:hAnsi="Arial" w:cs="Arial"/>
                <w:color w:val="auto"/>
                <w:sz w:val="14"/>
                <w:szCs w:val="14"/>
                <w:shd w:val="clear" w:color="auto" w:fill="auto"/>
              </w:rPr>
            </w:pPr>
            <w:r w:rsidRPr="004B220F">
              <w:rPr>
                <w:rFonts w:ascii="Arial" w:hAnsi="Arial" w:cs="Arial"/>
                <w:sz w:val="14"/>
                <w:szCs w:val="14"/>
              </w:rPr>
              <w:t>($/kWh)</w:t>
            </w:r>
          </w:p>
        </w:tc>
        <w:tc>
          <w:tcPr>
            <w:tcW w:w="1094" w:type="dxa"/>
            <w:tcBorders>
              <w:bottom w:val="single" w:sz="12" w:space="0" w:color="auto"/>
            </w:tcBorders>
            <w:vAlign w:val="bottom"/>
          </w:tcPr>
          <w:p w:rsidR="00D46D62" w:rsidRPr="004B220F" w:rsidP="00D46D62" w14:paraId="3569E5FE" w14:textId="77777777">
            <w:pPr>
              <w:jc w:val="center"/>
              <w:rPr>
                <w:rFonts w:ascii="Arial" w:hAnsi="Arial" w:cs="Arial"/>
                <w:color w:val="auto"/>
                <w:sz w:val="14"/>
                <w:szCs w:val="14"/>
                <w:shd w:val="clear" w:color="auto" w:fill="auto"/>
              </w:rPr>
            </w:pPr>
            <w:r w:rsidRPr="004B220F">
              <w:rPr>
                <w:rFonts w:ascii="Arial" w:hAnsi="Arial" w:cs="Arial"/>
                <w:sz w:val="14"/>
                <w:szCs w:val="14"/>
              </w:rPr>
              <w:t>($/Billing kW)</w:t>
            </w:r>
          </w:p>
        </w:tc>
        <w:tc>
          <w:tcPr>
            <w:tcW w:w="1095" w:type="dxa"/>
            <w:tcBorders>
              <w:bottom w:val="single" w:sz="12" w:space="0" w:color="auto"/>
            </w:tcBorders>
            <w:vAlign w:val="bottom"/>
          </w:tcPr>
          <w:p w:rsidR="00D46D62" w:rsidRPr="004B220F" w:rsidP="00D46D62" w14:paraId="3AA914F8" w14:textId="77777777">
            <w:pPr>
              <w:ind w:right="-62"/>
              <w:jc w:val="center"/>
              <w:rPr>
                <w:rFonts w:ascii="Arial" w:hAnsi="Arial" w:cs="Arial"/>
                <w:color w:val="auto"/>
                <w:sz w:val="14"/>
                <w:szCs w:val="14"/>
                <w:shd w:val="clear" w:color="auto" w:fill="auto"/>
              </w:rPr>
            </w:pPr>
            <w:r w:rsidRPr="004B220F">
              <w:rPr>
                <w:rFonts w:ascii="Arial" w:hAnsi="Arial" w:cs="Arial"/>
                <w:sz w:val="14"/>
                <w:szCs w:val="14"/>
              </w:rPr>
              <w:t>($/Billing kW)</w:t>
            </w:r>
          </w:p>
        </w:tc>
        <w:tc>
          <w:tcPr>
            <w:tcW w:w="1176" w:type="dxa"/>
            <w:tcBorders>
              <w:bottom w:val="single" w:sz="12" w:space="0" w:color="auto"/>
            </w:tcBorders>
            <w:vAlign w:val="bottom"/>
          </w:tcPr>
          <w:p w:rsidR="00D46D62" w:rsidRPr="004B220F" w:rsidP="00D46D62" w14:paraId="039643D1" w14:textId="77777777">
            <w:pPr>
              <w:jc w:val="center"/>
              <w:rPr>
                <w:rFonts w:ascii="Arial" w:hAnsi="Arial" w:cs="Arial"/>
                <w:color w:val="auto"/>
                <w:sz w:val="14"/>
                <w:szCs w:val="14"/>
                <w:shd w:val="clear" w:color="auto" w:fill="auto"/>
              </w:rPr>
            </w:pPr>
            <w:r w:rsidRPr="004B220F">
              <w:rPr>
                <w:rFonts w:ascii="Arial" w:hAnsi="Arial" w:cs="Arial"/>
                <w:sz w:val="14"/>
                <w:szCs w:val="14"/>
              </w:rPr>
              <w:t>($/Billing kW)</w:t>
            </w:r>
          </w:p>
        </w:tc>
        <w:tc>
          <w:tcPr>
            <w:tcW w:w="1012" w:type="dxa"/>
            <w:tcBorders>
              <w:bottom w:val="single" w:sz="12" w:space="0" w:color="auto"/>
              <w:right w:val="single" w:sz="12" w:space="0" w:color="auto"/>
            </w:tcBorders>
            <w:vAlign w:val="bottom"/>
          </w:tcPr>
          <w:p w:rsidR="00D46D62" w:rsidRPr="004B220F" w:rsidP="00D46D62" w14:paraId="36B4549C" w14:textId="77777777">
            <w:pPr>
              <w:jc w:val="center"/>
              <w:rPr>
                <w:rFonts w:ascii="Arial" w:hAnsi="Arial" w:cs="Arial"/>
                <w:color w:val="auto"/>
                <w:sz w:val="14"/>
                <w:szCs w:val="14"/>
                <w:shd w:val="clear" w:color="auto" w:fill="auto"/>
              </w:rPr>
            </w:pPr>
            <w:r w:rsidRPr="004B220F">
              <w:rPr>
                <w:rFonts w:ascii="Arial" w:hAnsi="Arial" w:cs="Arial"/>
                <w:sz w:val="14"/>
                <w:szCs w:val="14"/>
              </w:rPr>
              <w:t>($/kWh)</w:t>
            </w:r>
          </w:p>
        </w:tc>
      </w:tr>
      <w:tr w14:paraId="4994A175" w14:textId="77777777" w:rsidTr="00B054C6">
        <w:tblPrEx>
          <w:tblW w:w="10012" w:type="dxa"/>
          <w:tblInd w:w="-65" w:type="dxa"/>
          <w:tblLayout w:type="fixed"/>
          <w:tblCellMar>
            <w:left w:w="115" w:type="dxa"/>
            <w:right w:w="115" w:type="dxa"/>
          </w:tblCellMar>
          <w:tblLook w:val="01E0"/>
        </w:tblPrEx>
        <w:tc>
          <w:tcPr>
            <w:tcW w:w="1258" w:type="dxa"/>
            <w:tcBorders>
              <w:right w:val="single" w:sz="12" w:space="0" w:color="auto"/>
            </w:tcBorders>
            <w:tcMar>
              <w:left w:w="43" w:type="dxa"/>
              <w:right w:w="43" w:type="dxa"/>
            </w:tcMar>
            <w:vAlign w:val="bottom"/>
          </w:tcPr>
          <w:p w:rsidR="00D46D62" w:rsidRPr="003E5DF6" w:rsidP="00D46D62" w14:paraId="18E7201E" w14:textId="7D8F91A2">
            <w:pPr>
              <w:pStyle w:val="BodyTextIndent"/>
              <w:tabs>
                <w:tab w:val="left" w:pos="5040"/>
              </w:tabs>
              <w:spacing w:line="240" w:lineRule="exact"/>
              <w:ind w:firstLine="0"/>
              <w:jc w:val="center"/>
              <w:rPr>
                <w:rFonts w:ascii="Arial" w:hAnsi="Arial"/>
                <w:color w:val="auto"/>
                <w:sz w:val="16"/>
                <w:szCs w:val="16"/>
                <w:shd w:val="clear" w:color="auto" w:fill="auto"/>
              </w:rPr>
            </w:pPr>
            <w:r w:rsidRPr="003E5DF6">
              <w:rPr>
                <w:rFonts w:ascii="Arial" w:hAnsi="Arial"/>
                <w:sz w:val="16"/>
                <w:szCs w:val="16"/>
              </w:rPr>
              <w:t>Nov 14</w:t>
            </w:r>
            <w:r w:rsidRPr="003E5DF6" w:rsidR="00761351">
              <w:rPr>
                <w:rFonts w:ascii="Arial" w:hAnsi="Arial"/>
                <w:sz w:val="16"/>
                <w:szCs w:val="16"/>
              </w:rPr>
              <w:t>, 2023</w:t>
            </w:r>
          </w:p>
        </w:tc>
        <w:tc>
          <w:tcPr>
            <w:tcW w:w="1094" w:type="dxa"/>
            <w:tcBorders>
              <w:top w:val="single" w:sz="12" w:space="0" w:color="auto"/>
              <w:left w:val="single" w:sz="12" w:space="0" w:color="auto"/>
              <w:bottom w:val="single" w:sz="12" w:space="0" w:color="auto"/>
              <w:right w:val="single" w:sz="12" w:space="0" w:color="auto"/>
            </w:tcBorders>
            <w:vAlign w:val="center"/>
          </w:tcPr>
          <w:p w:rsidR="00D46D62" w:rsidRPr="003E5DF6" w:rsidP="00D46D62" w14:paraId="75C7EC85" w14:textId="4EEF85E5">
            <w:pPr>
              <w:widowControl/>
              <w:jc w:val="center"/>
              <w:rPr>
                <w:rFonts w:ascii="Arial" w:hAnsi="Arial" w:cs="Arial"/>
                <w:color w:val="auto"/>
                <w:sz w:val="14"/>
                <w:szCs w:val="14"/>
                <w:shd w:val="clear" w:color="auto" w:fill="auto"/>
              </w:rPr>
            </w:pPr>
            <w:r w:rsidRPr="003E5DF6">
              <w:rPr>
                <w:rFonts w:ascii="Arial" w:hAnsi="Arial" w:cs="Arial"/>
                <w:sz w:val="14"/>
                <w:szCs w:val="14"/>
              </w:rPr>
              <w:t>0.</w:t>
            </w:r>
            <w:r w:rsidRPr="003E5DF6" w:rsidR="003E5DF6">
              <w:rPr>
                <w:rFonts w:ascii="Arial" w:hAnsi="Arial" w:cs="Arial"/>
                <w:sz w:val="14"/>
                <w:szCs w:val="14"/>
              </w:rPr>
              <w:t>002527</w:t>
            </w:r>
          </w:p>
        </w:tc>
        <w:tc>
          <w:tcPr>
            <w:tcW w:w="1094" w:type="dxa"/>
            <w:tcBorders>
              <w:top w:val="single" w:sz="12" w:space="0" w:color="auto"/>
              <w:left w:val="single" w:sz="12" w:space="0" w:color="auto"/>
              <w:bottom w:val="single" w:sz="12" w:space="0" w:color="auto"/>
            </w:tcBorders>
            <w:vAlign w:val="center"/>
          </w:tcPr>
          <w:p w:rsidR="00D46D62" w:rsidRPr="003E5DF6" w:rsidP="00D46D62" w14:paraId="11C9B16A" w14:textId="05145F02">
            <w:pPr>
              <w:widowControl/>
              <w:jc w:val="center"/>
              <w:rPr>
                <w:rFonts w:ascii="Arial" w:hAnsi="Arial" w:cs="Arial"/>
                <w:color w:val="auto"/>
                <w:sz w:val="14"/>
                <w:szCs w:val="14"/>
                <w:shd w:val="clear" w:color="auto" w:fill="auto"/>
              </w:rPr>
            </w:pPr>
            <w:r w:rsidRPr="003E5DF6">
              <w:rPr>
                <w:rFonts w:ascii="Arial" w:hAnsi="Arial" w:cs="Arial"/>
                <w:sz w:val="14"/>
                <w:szCs w:val="14"/>
              </w:rPr>
              <w:t>0.</w:t>
            </w:r>
            <w:r w:rsidRPr="003E5DF6" w:rsidR="003E5DF6">
              <w:rPr>
                <w:rFonts w:ascii="Arial" w:hAnsi="Arial" w:cs="Arial"/>
                <w:sz w:val="14"/>
                <w:szCs w:val="14"/>
              </w:rPr>
              <w:t>002446</w:t>
            </w:r>
          </w:p>
        </w:tc>
        <w:tc>
          <w:tcPr>
            <w:tcW w:w="1095" w:type="dxa"/>
            <w:tcBorders>
              <w:top w:val="single" w:sz="12" w:space="0" w:color="auto"/>
              <w:bottom w:val="single" w:sz="12" w:space="0" w:color="auto"/>
              <w:right w:val="single" w:sz="12" w:space="0" w:color="auto"/>
            </w:tcBorders>
            <w:vAlign w:val="center"/>
          </w:tcPr>
          <w:p w:rsidR="00D46D62" w:rsidRPr="002B6DA7" w:rsidP="00D46D62" w14:paraId="01A7F62B" w14:textId="775F857A">
            <w:pPr>
              <w:widowControl/>
              <w:jc w:val="center"/>
              <w:rPr>
                <w:rFonts w:ascii="Arial" w:hAnsi="Arial" w:cs="Arial"/>
                <w:color w:val="auto"/>
                <w:sz w:val="14"/>
                <w:szCs w:val="14"/>
                <w:highlight w:val="yellow"/>
                <w:shd w:val="clear" w:color="auto" w:fill="auto"/>
              </w:rPr>
            </w:pPr>
            <w:r w:rsidRPr="003E5DF6">
              <w:rPr>
                <w:rFonts w:ascii="Arial" w:hAnsi="Arial" w:cs="Arial"/>
                <w:sz w:val="14"/>
                <w:szCs w:val="14"/>
              </w:rPr>
              <w:t>0.</w:t>
            </w:r>
            <w:r w:rsidRPr="003E5DF6" w:rsidR="003E5DF6">
              <w:rPr>
                <w:rFonts w:ascii="Arial" w:hAnsi="Arial" w:cs="Arial"/>
                <w:sz w:val="14"/>
                <w:szCs w:val="14"/>
              </w:rPr>
              <w:t>459315</w:t>
            </w:r>
          </w:p>
        </w:tc>
        <w:tc>
          <w:tcPr>
            <w:tcW w:w="1094" w:type="dxa"/>
            <w:tcBorders>
              <w:top w:val="single" w:sz="12" w:space="0" w:color="auto"/>
              <w:left w:val="single" w:sz="12" w:space="0" w:color="auto"/>
              <w:bottom w:val="single" w:sz="12" w:space="0" w:color="auto"/>
            </w:tcBorders>
            <w:vAlign w:val="center"/>
          </w:tcPr>
          <w:p w:rsidR="00D46D62" w:rsidRPr="002B6DA7" w:rsidP="00D46D62" w14:paraId="239B8E1D" w14:textId="70A1C590">
            <w:pPr>
              <w:widowControl/>
              <w:jc w:val="center"/>
              <w:rPr>
                <w:rFonts w:ascii="Arial" w:hAnsi="Arial" w:cs="Arial"/>
                <w:color w:val="auto"/>
                <w:sz w:val="14"/>
                <w:szCs w:val="14"/>
                <w:highlight w:val="yellow"/>
                <w:shd w:val="clear" w:color="auto" w:fill="auto"/>
              </w:rPr>
            </w:pPr>
            <w:r w:rsidRPr="003E5DF6">
              <w:rPr>
                <w:rFonts w:ascii="Arial" w:hAnsi="Arial" w:cs="Arial"/>
                <w:sz w:val="14"/>
                <w:szCs w:val="14"/>
              </w:rPr>
              <w:t>0.00</w:t>
            </w:r>
            <w:r w:rsidRPr="003E5DF6" w:rsidR="003E5DF6">
              <w:rPr>
                <w:rFonts w:ascii="Arial" w:hAnsi="Arial" w:cs="Arial"/>
                <w:sz w:val="14"/>
                <w:szCs w:val="14"/>
              </w:rPr>
              <w:t>2047</w:t>
            </w:r>
          </w:p>
        </w:tc>
        <w:tc>
          <w:tcPr>
            <w:tcW w:w="1094" w:type="dxa"/>
            <w:tcBorders>
              <w:top w:val="single" w:sz="12" w:space="0" w:color="auto"/>
              <w:bottom w:val="single" w:sz="12" w:space="0" w:color="auto"/>
            </w:tcBorders>
            <w:vAlign w:val="center"/>
          </w:tcPr>
          <w:p w:rsidR="00D46D62" w:rsidRPr="002B6DA7" w:rsidP="00D46D62" w14:paraId="21A7B4BF" w14:textId="77D724EB">
            <w:pPr>
              <w:widowControl/>
              <w:jc w:val="center"/>
              <w:rPr>
                <w:rFonts w:ascii="Arial" w:hAnsi="Arial" w:cs="Arial"/>
                <w:color w:val="auto"/>
                <w:sz w:val="14"/>
                <w:szCs w:val="14"/>
                <w:highlight w:val="yellow"/>
                <w:shd w:val="clear" w:color="auto" w:fill="auto"/>
              </w:rPr>
            </w:pPr>
            <w:r w:rsidRPr="003E5DF6">
              <w:rPr>
                <w:rFonts w:ascii="Arial" w:hAnsi="Arial" w:cs="Arial"/>
                <w:sz w:val="14"/>
                <w:szCs w:val="14"/>
              </w:rPr>
              <w:t>0.</w:t>
            </w:r>
            <w:r w:rsidRPr="003E5DF6" w:rsidR="003E5DF6">
              <w:rPr>
                <w:rFonts w:ascii="Arial" w:hAnsi="Arial" w:cs="Arial"/>
                <w:sz w:val="14"/>
                <w:szCs w:val="14"/>
              </w:rPr>
              <w:t>254994</w:t>
            </w:r>
          </w:p>
        </w:tc>
        <w:tc>
          <w:tcPr>
            <w:tcW w:w="1095" w:type="dxa"/>
            <w:tcBorders>
              <w:top w:val="single" w:sz="12" w:space="0" w:color="auto"/>
              <w:bottom w:val="single" w:sz="12" w:space="0" w:color="auto"/>
              <w:right w:val="single" w:sz="12" w:space="0" w:color="auto"/>
            </w:tcBorders>
            <w:vAlign w:val="center"/>
          </w:tcPr>
          <w:p w:rsidR="00D46D62" w:rsidRPr="002B6DA7" w:rsidP="00D46D62" w14:paraId="39CDC9EF" w14:textId="6313435F">
            <w:pPr>
              <w:widowControl/>
              <w:jc w:val="center"/>
              <w:rPr>
                <w:rFonts w:ascii="Arial" w:hAnsi="Arial" w:cs="Arial"/>
                <w:color w:val="auto"/>
                <w:sz w:val="14"/>
                <w:szCs w:val="14"/>
                <w:highlight w:val="yellow"/>
                <w:shd w:val="clear" w:color="auto" w:fill="auto"/>
              </w:rPr>
            </w:pPr>
            <w:r w:rsidRPr="003E5DF6">
              <w:rPr>
                <w:rFonts w:ascii="Arial" w:hAnsi="Arial" w:cs="Arial"/>
                <w:sz w:val="14"/>
                <w:szCs w:val="14"/>
              </w:rPr>
              <w:t>0.</w:t>
            </w:r>
            <w:r w:rsidRPr="003E5DF6" w:rsidR="003E5DF6">
              <w:rPr>
                <w:rFonts w:ascii="Arial" w:hAnsi="Arial" w:cs="Arial"/>
                <w:sz w:val="14"/>
                <w:szCs w:val="14"/>
              </w:rPr>
              <w:t>078408</w:t>
            </w:r>
          </w:p>
        </w:tc>
        <w:tc>
          <w:tcPr>
            <w:tcW w:w="1176" w:type="dxa"/>
            <w:tcBorders>
              <w:top w:val="single" w:sz="12" w:space="0" w:color="auto"/>
              <w:left w:val="single" w:sz="12" w:space="0" w:color="auto"/>
              <w:bottom w:val="single" w:sz="12" w:space="0" w:color="auto"/>
              <w:right w:val="single" w:sz="12" w:space="0" w:color="auto"/>
            </w:tcBorders>
            <w:vAlign w:val="center"/>
          </w:tcPr>
          <w:p w:rsidR="00D46D62" w:rsidRPr="003E5DF6" w:rsidP="00D46D62" w14:paraId="26C89D0C" w14:textId="266ECD72">
            <w:pPr>
              <w:widowControl/>
              <w:jc w:val="center"/>
              <w:rPr>
                <w:rFonts w:ascii="Arial" w:hAnsi="Arial" w:cs="Arial"/>
                <w:color w:val="auto"/>
                <w:sz w:val="14"/>
                <w:szCs w:val="14"/>
                <w:shd w:val="clear" w:color="auto" w:fill="auto"/>
              </w:rPr>
            </w:pPr>
            <w:r w:rsidRPr="003E5DF6">
              <w:rPr>
                <w:rFonts w:ascii="Arial" w:hAnsi="Arial" w:cs="Arial"/>
                <w:sz w:val="14"/>
                <w:szCs w:val="14"/>
              </w:rPr>
              <w:t>0.</w:t>
            </w:r>
            <w:r w:rsidRPr="003E5DF6" w:rsidR="003E5DF6">
              <w:rPr>
                <w:rFonts w:ascii="Arial" w:hAnsi="Arial" w:cs="Arial"/>
                <w:sz w:val="14"/>
                <w:szCs w:val="14"/>
              </w:rPr>
              <w:t>004740</w:t>
            </w:r>
          </w:p>
        </w:tc>
        <w:tc>
          <w:tcPr>
            <w:tcW w:w="1012" w:type="dxa"/>
            <w:tcBorders>
              <w:top w:val="single" w:sz="12" w:space="0" w:color="auto"/>
              <w:left w:val="single" w:sz="12" w:space="0" w:color="auto"/>
              <w:bottom w:val="single" w:sz="12" w:space="0" w:color="auto"/>
              <w:right w:val="single" w:sz="12" w:space="0" w:color="auto"/>
            </w:tcBorders>
            <w:vAlign w:val="center"/>
          </w:tcPr>
          <w:p w:rsidR="00D46D62" w:rsidRPr="003E5DF6" w:rsidP="00D46D62" w14:paraId="793D8E9A" w14:textId="6351EC06">
            <w:pPr>
              <w:widowControl/>
              <w:jc w:val="center"/>
              <w:rPr>
                <w:rFonts w:ascii="Arial" w:hAnsi="Arial" w:cs="Arial"/>
                <w:color w:val="auto"/>
                <w:sz w:val="14"/>
                <w:szCs w:val="14"/>
                <w:shd w:val="clear" w:color="auto" w:fill="auto"/>
              </w:rPr>
            </w:pPr>
            <w:r w:rsidRPr="003E5DF6">
              <w:rPr>
                <w:rFonts w:ascii="Arial" w:hAnsi="Arial" w:cs="Arial"/>
                <w:sz w:val="14"/>
                <w:szCs w:val="14"/>
              </w:rPr>
              <w:t>0.</w:t>
            </w:r>
            <w:r w:rsidRPr="003E5DF6" w:rsidR="003E5DF6">
              <w:rPr>
                <w:rFonts w:ascii="Arial" w:hAnsi="Arial" w:cs="Arial"/>
                <w:sz w:val="14"/>
                <w:szCs w:val="14"/>
              </w:rPr>
              <w:t>002887</w:t>
            </w:r>
          </w:p>
        </w:tc>
      </w:tr>
      <w:tr w14:paraId="203757FE" w14:textId="77777777" w:rsidTr="00972A94">
        <w:tblPrEx>
          <w:tblW w:w="10012" w:type="dxa"/>
          <w:tblInd w:w="-65" w:type="dxa"/>
          <w:tblLayout w:type="fixed"/>
          <w:tblCellMar>
            <w:left w:w="115" w:type="dxa"/>
            <w:right w:w="115" w:type="dxa"/>
          </w:tblCellMar>
          <w:tblLook w:val="01E0"/>
        </w:tblPrEx>
        <w:tc>
          <w:tcPr>
            <w:tcW w:w="1258" w:type="dxa"/>
            <w:tcBorders>
              <w:right w:val="single" w:sz="12" w:space="0" w:color="auto"/>
            </w:tcBorders>
            <w:tcMar>
              <w:left w:w="43" w:type="dxa"/>
              <w:right w:w="43" w:type="dxa"/>
            </w:tcMar>
            <w:vAlign w:val="bottom"/>
          </w:tcPr>
          <w:p w:rsidR="004B0224" w:rsidP="004B0224" w14:paraId="1A3628FA" w14:textId="6DB3347F">
            <w:pPr>
              <w:pStyle w:val="BodyTextIndent"/>
              <w:tabs>
                <w:tab w:val="left" w:pos="5040"/>
              </w:tabs>
              <w:spacing w:line="240" w:lineRule="exact"/>
              <w:ind w:firstLine="0"/>
              <w:jc w:val="center"/>
              <w:rPr>
                <w:rFonts w:ascii="Arial" w:hAnsi="Arial"/>
                <w:color w:val="auto"/>
                <w:sz w:val="16"/>
                <w:szCs w:val="16"/>
                <w:shd w:val="clear" w:color="auto" w:fill="auto"/>
              </w:rPr>
            </w:pPr>
            <w:r>
              <w:rPr>
                <w:rFonts w:ascii="Arial" w:hAnsi="Arial"/>
                <w:sz w:val="16"/>
                <w:szCs w:val="16"/>
              </w:rPr>
              <w:t>Sept 1, 2023</w:t>
            </w:r>
          </w:p>
        </w:tc>
        <w:tc>
          <w:tcPr>
            <w:tcW w:w="1094" w:type="dxa"/>
            <w:tcBorders>
              <w:top w:val="single" w:sz="12" w:space="0" w:color="auto"/>
              <w:left w:val="single" w:sz="12" w:space="0" w:color="auto"/>
              <w:right w:val="single" w:sz="12" w:space="0" w:color="auto"/>
            </w:tcBorders>
            <w:vAlign w:val="center"/>
          </w:tcPr>
          <w:p w:rsidR="004B0224" w:rsidP="004B0224" w14:paraId="2ACED18B" w14:textId="0EF1F0FD">
            <w:pPr>
              <w:widowControl/>
              <w:jc w:val="center"/>
              <w:rPr>
                <w:rFonts w:ascii="Arial" w:hAnsi="Arial" w:cs="Arial"/>
                <w:color w:val="auto"/>
                <w:sz w:val="14"/>
                <w:szCs w:val="14"/>
                <w:shd w:val="clear" w:color="auto" w:fill="auto"/>
              </w:rPr>
            </w:pPr>
            <w:r>
              <w:rPr>
                <w:rFonts w:ascii="Arial" w:hAnsi="Arial" w:cs="Arial"/>
                <w:sz w:val="14"/>
                <w:szCs w:val="14"/>
              </w:rPr>
              <w:t>0.001851</w:t>
            </w:r>
          </w:p>
        </w:tc>
        <w:tc>
          <w:tcPr>
            <w:tcW w:w="1094" w:type="dxa"/>
            <w:tcBorders>
              <w:top w:val="single" w:sz="12" w:space="0" w:color="auto"/>
              <w:left w:val="single" w:sz="12" w:space="0" w:color="auto"/>
            </w:tcBorders>
            <w:vAlign w:val="center"/>
          </w:tcPr>
          <w:p w:rsidR="004B0224" w:rsidP="004B0224" w14:paraId="5B49895A" w14:textId="72B6CF55">
            <w:pPr>
              <w:widowControl/>
              <w:jc w:val="center"/>
              <w:rPr>
                <w:rFonts w:ascii="Arial" w:hAnsi="Arial" w:cs="Arial"/>
                <w:color w:val="auto"/>
                <w:sz w:val="14"/>
                <w:szCs w:val="14"/>
                <w:shd w:val="clear" w:color="auto" w:fill="auto"/>
              </w:rPr>
            </w:pPr>
            <w:r>
              <w:rPr>
                <w:rFonts w:ascii="Arial" w:hAnsi="Arial" w:cs="Arial"/>
                <w:sz w:val="14"/>
                <w:szCs w:val="14"/>
              </w:rPr>
              <w:t>0.001747</w:t>
            </w:r>
          </w:p>
        </w:tc>
        <w:tc>
          <w:tcPr>
            <w:tcW w:w="1095" w:type="dxa"/>
            <w:tcBorders>
              <w:top w:val="single" w:sz="12" w:space="0" w:color="auto"/>
              <w:right w:val="single" w:sz="12" w:space="0" w:color="auto"/>
            </w:tcBorders>
            <w:vAlign w:val="center"/>
          </w:tcPr>
          <w:p w:rsidR="004B0224" w:rsidP="004B0224" w14:paraId="2F2722F4" w14:textId="6A3CDD46">
            <w:pPr>
              <w:widowControl/>
              <w:jc w:val="center"/>
              <w:rPr>
                <w:rFonts w:ascii="Arial" w:hAnsi="Arial" w:cs="Arial"/>
                <w:color w:val="auto"/>
                <w:sz w:val="14"/>
                <w:szCs w:val="14"/>
                <w:shd w:val="clear" w:color="auto" w:fill="auto"/>
              </w:rPr>
            </w:pPr>
            <w:r>
              <w:rPr>
                <w:rFonts w:ascii="Arial" w:hAnsi="Arial" w:cs="Arial"/>
                <w:sz w:val="14"/>
                <w:szCs w:val="14"/>
              </w:rPr>
              <w:t>0.349875</w:t>
            </w:r>
          </w:p>
        </w:tc>
        <w:tc>
          <w:tcPr>
            <w:tcW w:w="1094" w:type="dxa"/>
            <w:tcBorders>
              <w:top w:val="single" w:sz="12" w:space="0" w:color="auto"/>
              <w:left w:val="single" w:sz="12" w:space="0" w:color="auto"/>
            </w:tcBorders>
            <w:vAlign w:val="center"/>
          </w:tcPr>
          <w:p w:rsidR="004B0224" w:rsidP="004B0224" w14:paraId="0B74BBA4" w14:textId="3C01A7C3">
            <w:pPr>
              <w:widowControl/>
              <w:jc w:val="center"/>
              <w:rPr>
                <w:rFonts w:ascii="Arial" w:hAnsi="Arial" w:cs="Arial"/>
                <w:color w:val="auto"/>
                <w:sz w:val="14"/>
                <w:szCs w:val="14"/>
                <w:shd w:val="clear" w:color="auto" w:fill="auto"/>
              </w:rPr>
            </w:pPr>
            <w:r>
              <w:rPr>
                <w:rFonts w:ascii="Arial" w:hAnsi="Arial" w:cs="Arial"/>
                <w:sz w:val="14"/>
                <w:szCs w:val="14"/>
              </w:rPr>
              <w:t>0.001475</w:t>
            </w:r>
          </w:p>
        </w:tc>
        <w:tc>
          <w:tcPr>
            <w:tcW w:w="1094" w:type="dxa"/>
            <w:tcBorders>
              <w:top w:val="single" w:sz="12" w:space="0" w:color="auto"/>
            </w:tcBorders>
            <w:vAlign w:val="center"/>
          </w:tcPr>
          <w:p w:rsidR="004B0224" w:rsidP="004B0224" w14:paraId="184F439E" w14:textId="268DBBCF">
            <w:pPr>
              <w:widowControl/>
              <w:jc w:val="center"/>
              <w:rPr>
                <w:rFonts w:ascii="Arial" w:hAnsi="Arial" w:cs="Arial"/>
                <w:color w:val="auto"/>
                <w:sz w:val="14"/>
                <w:szCs w:val="14"/>
                <w:shd w:val="clear" w:color="auto" w:fill="auto"/>
              </w:rPr>
            </w:pPr>
            <w:r>
              <w:rPr>
                <w:rFonts w:ascii="Arial" w:hAnsi="Arial" w:cs="Arial"/>
                <w:sz w:val="14"/>
                <w:szCs w:val="14"/>
              </w:rPr>
              <w:t>0.201323</w:t>
            </w:r>
          </w:p>
        </w:tc>
        <w:tc>
          <w:tcPr>
            <w:tcW w:w="1095" w:type="dxa"/>
            <w:tcBorders>
              <w:top w:val="single" w:sz="12" w:space="0" w:color="auto"/>
              <w:right w:val="single" w:sz="12" w:space="0" w:color="auto"/>
            </w:tcBorders>
            <w:vAlign w:val="center"/>
          </w:tcPr>
          <w:p w:rsidR="004B0224" w:rsidP="004B0224" w14:paraId="33E1D15A" w14:textId="266AB11E">
            <w:pPr>
              <w:widowControl/>
              <w:jc w:val="center"/>
              <w:rPr>
                <w:rFonts w:ascii="Arial" w:hAnsi="Arial" w:cs="Arial"/>
                <w:color w:val="auto"/>
                <w:sz w:val="14"/>
                <w:szCs w:val="14"/>
                <w:shd w:val="clear" w:color="auto" w:fill="auto"/>
              </w:rPr>
            </w:pPr>
            <w:r>
              <w:rPr>
                <w:rFonts w:ascii="Arial" w:hAnsi="Arial" w:cs="Arial"/>
                <w:sz w:val="14"/>
                <w:szCs w:val="14"/>
              </w:rPr>
              <w:t>0.063339</w:t>
            </w:r>
          </w:p>
        </w:tc>
        <w:tc>
          <w:tcPr>
            <w:tcW w:w="1176" w:type="dxa"/>
            <w:tcBorders>
              <w:top w:val="single" w:sz="12" w:space="0" w:color="auto"/>
              <w:left w:val="single" w:sz="12" w:space="0" w:color="auto"/>
              <w:right w:val="single" w:sz="12" w:space="0" w:color="auto"/>
            </w:tcBorders>
            <w:vAlign w:val="center"/>
          </w:tcPr>
          <w:p w:rsidR="004B0224" w:rsidP="004B0224" w14:paraId="79293213" w14:textId="66199939">
            <w:pPr>
              <w:widowControl/>
              <w:jc w:val="center"/>
              <w:rPr>
                <w:rFonts w:ascii="Arial" w:hAnsi="Arial" w:cs="Arial"/>
                <w:color w:val="auto"/>
                <w:sz w:val="14"/>
                <w:szCs w:val="14"/>
                <w:shd w:val="clear" w:color="auto" w:fill="auto"/>
              </w:rPr>
            </w:pPr>
            <w:r>
              <w:rPr>
                <w:rFonts w:ascii="Arial" w:hAnsi="Arial" w:cs="Arial"/>
                <w:sz w:val="14"/>
                <w:szCs w:val="14"/>
              </w:rPr>
              <w:t>0.003845</w:t>
            </w:r>
          </w:p>
        </w:tc>
        <w:tc>
          <w:tcPr>
            <w:tcW w:w="1012" w:type="dxa"/>
            <w:tcBorders>
              <w:top w:val="single" w:sz="12" w:space="0" w:color="auto"/>
              <w:left w:val="single" w:sz="12" w:space="0" w:color="auto"/>
              <w:right w:val="single" w:sz="12" w:space="0" w:color="auto"/>
            </w:tcBorders>
            <w:vAlign w:val="center"/>
          </w:tcPr>
          <w:p w:rsidR="004B0224" w:rsidP="004B0224" w14:paraId="3C72EE93" w14:textId="7F180AED">
            <w:pPr>
              <w:widowControl/>
              <w:jc w:val="center"/>
              <w:rPr>
                <w:rFonts w:ascii="Arial" w:hAnsi="Arial" w:cs="Arial"/>
                <w:color w:val="auto"/>
                <w:sz w:val="14"/>
                <w:szCs w:val="14"/>
                <w:shd w:val="clear" w:color="auto" w:fill="auto"/>
              </w:rPr>
            </w:pPr>
            <w:r>
              <w:rPr>
                <w:rFonts w:ascii="Arial" w:hAnsi="Arial" w:cs="Arial"/>
                <w:sz w:val="14"/>
                <w:szCs w:val="14"/>
              </w:rPr>
              <w:t>0.002341</w:t>
            </w:r>
          </w:p>
        </w:tc>
      </w:tr>
      <w:tr w14:paraId="6F02AFBE" w14:textId="77777777" w:rsidTr="00B054C6">
        <w:tblPrEx>
          <w:tblW w:w="10012" w:type="dxa"/>
          <w:tblInd w:w="-65" w:type="dxa"/>
          <w:tblLayout w:type="fixed"/>
          <w:tblCellMar>
            <w:left w:w="115" w:type="dxa"/>
            <w:right w:w="115" w:type="dxa"/>
          </w:tblCellMar>
          <w:tblLook w:val="01E0"/>
        </w:tblPrEx>
        <w:tc>
          <w:tcPr>
            <w:tcW w:w="1258" w:type="dxa"/>
            <w:tcBorders>
              <w:right w:val="single" w:sz="12" w:space="0" w:color="auto"/>
            </w:tcBorders>
            <w:tcMar>
              <w:left w:w="43" w:type="dxa"/>
              <w:right w:w="43" w:type="dxa"/>
            </w:tcMar>
            <w:vAlign w:val="bottom"/>
          </w:tcPr>
          <w:p w:rsidR="004B0224" w:rsidP="004B0224" w14:paraId="1C7788A1" w14:textId="194216BF">
            <w:pPr>
              <w:pStyle w:val="BodyTextIndent"/>
              <w:tabs>
                <w:tab w:val="left" w:pos="5040"/>
              </w:tabs>
              <w:spacing w:line="240" w:lineRule="exact"/>
              <w:ind w:firstLine="0"/>
              <w:jc w:val="center"/>
              <w:rPr>
                <w:rFonts w:ascii="Arial" w:hAnsi="Arial"/>
                <w:color w:val="auto"/>
                <w:sz w:val="16"/>
                <w:szCs w:val="16"/>
                <w:shd w:val="clear" w:color="auto" w:fill="auto"/>
              </w:rPr>
            </w:pPr>
            <w:r>
              <w:rPr>
                <w:rFonts w:ascii="Arial" w:hAnsi="Arial"/>
                <w:sz w:val="16"/>
                <w:szCs w:val="16"/>
              </w:rPr>
              <w:t>May 1, 2023</w:t>
            </w:r>
          </w:p>
        </w:tc>
        <w:tc>
          <w:tcPr>
            <w:tcW w:w="1094" w:type="dxa"/>
            <w:tcBorders>
              <w:left w:val="single" w:sz="12" w:space="0" w:color="auto"/>
              <w:right w:val="single" w:sz="12" w:space="0" w:color="auto"/>
            </w:tcBorders>
            <w:vAlign w:val="center"/>
          </w:tcPr>
          <w:p w:rsidR="004B0224" w:rsidP="004B0224" w14:paraId="30C144E2" w14:textId="176F4C38">
            <w:pPr>
              <w:widowControl/>
              <w:jc w:val="center"/>
              <w:rPr>
                <w:rFonts w:ascii="Arial" w:hAnsi="Arial" w:cs="Arial"/>
                <w:color w:val="auto"/>
                <w:sz w:val="14"/>
                <w:szCs w:val="14"/>
                <w:shd w:val="clear" w:color="auto" w:fill="auto"/>
              </w:rPr>
            </w:pPr>
            <w:r>
              <w:rPr>
                <w:rFonts w:ascii="Arial" w:hAnsi="Arial" w:cs="Arial"/>
                <w:sz w:val="14"/>
                <w:szCs w:val="14"/>
              </w:rPr>
              <w:t>0.000000</w:t>
            </w:r>
          </w:p>
        </w:tc>
        <w:tc>
          <w:tcPr>
            <w:tcW w:w="1094" w:type="dxa"/>
            <w:tcBorders>
              <w:left w:val="single" w:sz="12" w:space="0" w:color="auto"/>
            </w:tcBorders>
            <w:vAlign w:val="center"/>
          </w:tcPr>
          <w:p w:rsidR="004B0224" w:rsidP="004B0224" w14:paraId="017C5504" w14:textId="23CBC7FA">
            <w:pPr>
              <w:widowControl/>
              <w:jc w:val="center"/>
              <w:rPr>
                <w:rFonts w:ascii="Arial" w:hAnsi="Arial" w:cs="Arial"/>
                <w:color w:val="auto"/>
                <w:sz w:val="14"/>
                <w:szCs w:val="14"/>
                <w:shd w:val="clear" w:color="auto" w:fill="auto"/>
              </w:rPr>
            </w:pPr>
            <w:r>
              <w:rPr>
                <w:rFonts w:ascii="Arial" w:hAnsi="Arial" w:cs="Arial"/>
                <w:sz w:val="14"/>
                <w:szCs w:val="14"/>
              </w:rPr>
              <w:t>0.000000</w:t>
            </w:r>
          </w:p>
        </w:tc>
        <w:tc>
          <w:tcPr>
            <w:tcW w:w="1095" w:type="dxa"/>
            <w:tcBorders>
              <w:right w:val="single" w:sz="12" w:space="0" w:color="auto"/>
            </w:tcBorders>
            <w:vAlign w:val="center"/>
          </w:tcPr>
          <w:p w:rsidR="004B0224" w:rsidP="004B0224" w14:paraId="19D635CD" w14:textId="5BC38E2C">
            <w:pPr>
              <w:widowControl/>
              <w:jc w:val="center"/>
              <w:rPr>
                <w:rFonts w:ascii="Arial" w:hAnsi="Arial" w:cs="Arial"/>
                <w:color w:val="auto"/>
                <w:sz w:val="14"/>
                <w:szCs w:val="14"/>
                <w:shd w:val="clear" w:color="auto" w:fill="auto"/>
              </w:rPr>
            </w:pPr>
            <w:r>
              <w:rPr>
                <w:rFonts w:ascii="Arial" w:hAnsi="Arial" w:cs="Arial"/>
                <w:sz w:val="14"/>
                <w:szCs w:val="14"/>
              </w:rPr>
              <w:t>0.000000</w:t>
            </w:r>
          </w:p>
        </w:tc>
        <w:tc>
          <w:tcPr>
            <w:tcW w:w="1094" w:type="dxa"/>
            <w:tcBorders>
              <w:left w:val="single" w:sz="12" w:space="0" w:color="auto"/>
            </w:tcBorders>
            <w:vAlign w:val="center"/>
          </w:tcPr>
          <w:p w:rsidR="004B0224" w:rsidP="004B0224" w14:paraId="49DAA78E" w14:textId="78320B58">
            <w:pPr>
              <w:widowControl/>
              <w:jc w:val="center"/>
              <w:rPr>
                <w:rFonts w:ascii="Arial" w:hAnsi="Arial" w:cs="Arial"/>
                <w:color w:val="auto"/>
                <w:sz w:val="14"/>
                <w:szCs w:val="14"/>
                <w:shd w:val="clear" w:color="auto" w:fill="auto"/>
              </w:rPr>
            </w:pPr>
            <w:r>
              <w:rPr>
                <w:rFonts w:ascii="Arial" w:hAnsi="Arial" w:cs="Arial"/>
                <w:sz w:val="14"/>
                <w:szCs w:val="14"/>
              </w:rPr>
              <w:t>0.000000</w:t>
            </w:r>
          </w:p>
        </w:tc>
        <w:tc>
          <w:tcPr>
            <w:tcW w:w="1094" w:type="dxa"/>
            <w:vAlign w:val="center"/>
          </w:tcPr>
          <w:p w:rsidR="004B0224" w:rsidP="004B0224" w14:paraId="645ACCC3" w14:textId="32EA153F">
            <w:pPr>
              <w:widowControl/>
              <w:jc w:val="center"/>
              <w:rPr>
                <w:rFonts w:ascii="Arial" w:hAnsi="Arial" w:cs="Arial"/>
                <w:color w:val="auto"/>
                <w:sz w:val="14"/>
                <w:szCs w:val="14"/>
                <w:shd w:val="clear" w:color="auto" w:fill="auto"/>
              </w:rPr>
            </w:pPr>
            <w:r>
              <w:rPr>
                <w:rFonts w:ascii="Arial" w:hAnsi="Arial" w:cs="Arial"/>
                <w:sz w:val="14"/>
                <w:szCs w:val="14"/>
              </w:rPr>
              <w:t>0.000000</w:t>
            </w:r>
          </w:p>
        </w:tc>
        <w:tc>
          <w:tcPr>
            <w:tcW w:w="1095" w:type="dxa"/>
            <w:tcBorders>
              <w:right w:val="single" w:sz="12" w:space="0" w:color="auto"/>
            </w:tcBorders>
            <w:vAlign w:val="center"/>
          </w:tcPr>
          <w:p w:rsidR="004B0224" w:rsidP="004B0224" w14:paraId="0A6E32A7" w14:textId="593DE97A">
            <w:pPr>
              <w:widowControl/>
              <w:jc w:val="center"/>
              <w:rPr>
                <w:rFonts w:ascii="Arial" w:hAnsi="Arial" w:cs="Arial"/>
                <w:color w:val="auto"/>
                <w:sz w:val="14"/>
                <w:szCs w:val="14"/>
                <w:shd w:val="clear" w:color="auto" w:fill="auto"/>
              </w:rPr>
            </w:pPr>
            <w:r>
              <w:rPr>
                <w:rFonts w:ascii="Arial" w:hAnsi="Arial" w:cs="Arial"/>
                <w:sz w:val="14"/>
                <w:szCs w:val="14"/>
              </w:rPr>
              <w:t>0.000000</w:t>
            </w:r>
          </w:p>
        </w:tc>
        <w:tc>
          <w:tcPr>
            <w:tcW w:w="1176" w:type="dxa"/>
            <w:tcBorders>
              <w:left w:val="single" w:sz="12" w:space="0" w:color="auto"/>
              <w:right w:val="single" w:sz="12" w:space="0" w:color="auto"/>
            </w:tcBorders>
            <w:vAlign w:val="center"/>
          </w:tcPr>
          <w:p w:rsidR="004B0224" w:rsidP="004B0224" w14:paraId="4099F407" w14:textId="3732D41F">
            <w:pPr>
              <w:widowControl/>
              <w:jc w:val="center"/>
              <w:rPr>
                <w:rFonts w:ascii="Arial" w:hAnsi="Arial" w:cs="Arial"/>
                <w:color w:val="auto"/>
                <w:sz w:val="14"/>
                <w:szCs w:val="14"/>
                <w:shd w:val="clear" w:color="auto" w:fill="auto"/>
              </w:rPr>
            </w:pPr>
            <w:r>
              <w:rPr>
                <w:rFonts w:ascii="Arial" w:hAnsi="Arial" w:cs="Arial"/>
                <w:sz w:val="14"/>
                <w:szCs w:val="14"/>
              </w:rPr>
              <w:t>0.000000</w:t>
            </w:r>
          </w:p>
        </w:tc>
        <w:tc>
          <w:tcPr>
            <w:tcW w:w="1012" w:type="dxa"/>
            <w:tcBorders>
              <w:left w:val="single" w:sz="12" w:space="0" w:color="auto"/>
              <w:right w:val="single" w:sz="12" w:space="0" w:color="auto"/>
            </w:tcBorders>
            <w:vAlign w:val="center"/>
          </w:tcPr>
          <w:p w:rsidR="004B0224" w:rsidP="004B0224" w14:paraId="6D3395B2" w14:textId="34008B32">
            <w:pPr>
              <w:widowControl/>
              <w:jc w:val="center"/>
              <w:rPr>
                <w:rFonts w:ascii="Arial" w:hAnsi="Arial" w:cs="Arial"/>
                <w:color w:val="auto"/>
                <w:sz w:val="14"/>
                <w:szCs w:val="14"/>
                <w:shd w:val="clear" w:color="auto" w:fill="auto"/>
              </w:rPr>
            </w:pPr>
            <w:r>
              <w:rPr>
                <w:rFonts w:ascii="Arial" w:hAnsi="Arial" w:cs="Arial"/>
                <w:sz w:val="14"/>
                <w:szCs w:val="14"/>
              </w:rPr>
              <w:t>0.000000</w:t>
            </w:r>
          </w:p>
        </w:tc>
      </w:tr>
      <w:tr w14:paraId="3FE7758E" w14:textId="77777777" w:rsidTr="00B054C6">
        <w:tblPrEx>
          <w:tblW w:w="10012" w:type="dxa"/>
          <w:tblInd w:w="-65" w:type="dxa"/>
          <w:tblLayout w:type="fixed"/>
          <w:tblCellMar>
            <w:left w:w="115" w:type="dxa"/>
            <w:right w:w="115" w:type="dxa"/>
          </w:tblCellMar>
          <w:tblLook w:val="01E0"/>
        </w:tblPrEx>
        <w:tc>
          <w:tcPr>
            <w:tcW w:w="1258" w:type="dxa"/>
            <w:tcBorders>
              <w:right w:val="single" w:sz="12" w:space="0" w:color="auto"/>
            </w:tcBorders>
            <w:tcMar>
              <w:left w:w="43" w:type="dxa"/>
              <w:right w:w="43" w:type="dxa"/>
            </w:tcMar>
            <w:vAlign w:val="bottom"/>
          </w:tcPr>
          <w:p w:rsidR="004B0224" w:rsidRPr="00A63087" w:rsidP="004B0224" w14:paraId="6602D48D" w14:textId="77777777">
            <w:pPr>
              <w:pStyle w:val="BodyTextIndent"/>
              <w:tabs>
                <w:tab w:val="left" w:pos="5040"/>
              </w:tabs>
              <w:spacing w:line="240" w:lineRule="exact"/>
              <w:ind w:firstLine="0"/>
              <w:jc w:val="center"/>
              <w:rPr>
                <w:rFonts w:ascii="Arial" w:hAnsi="Arial"/>
                <w:color w:val="auto"/>
                <w:sz w:val="16"/>
                <w:szCs w:val="16"/>
                <w:shd w:val="clear" w:color="auto" w:fill="auto"/>
              </w:rPr>
            </w:pPr>
            <w:r>
              <w:rPr>
                <w:rFonts w:ascii="Arial" w:hAnsi="Arial"/>
                <w:sz w:val="16"/>
                <w:szCs w:val="16"/>
              </w:rPr>
              <w:t>Sept 1, 2021</w:t>
            </w:r>
          </w:p>
        </w:tc>
        <w:tc>
          <w:tcPr>
            <w:tcW w:w="1094" w:type="dxa"/>
            <w:tcBorders>
              <w:left w:val="single" w:sz="12" w:space="0" w:color="auto"/>
              <w:right w:val="single" w:sz="12" w:space="0" w:color="auto"/>
            </w:tcBorders>
            <w:vAlign w:val="center"/>
          </w:tcPr>
          <w:p w:rsidR="004B0224" w:rsidRPr="003E72E8" w:rsidP="004B0224" w14:paraId="15A11744" w14:textId="77777777">
            <w:pPr>
              <w:widowControl/>
              <w:jc w:val="center"/>
              <w:rPr>
                <w:rFonts w:ascii="Arial" w:hAnsi="Arial" w:cs="Arial"/>
                <w:color w:val="auto"/>
                <w:sz w:val="14"/>
                <w:szCs w:val="14"/>
                <w:shd w:val="clear" w:color="auto" w:fill="auto"/>
              </w:rPr>
            </w:pPr>
            <w:r>
              <w:rPr>
                <w:rFonts w:ascii="Arial" w:hAnsi="Arial" w:cs="Arial"/>
                <w:sz w:val="14"/>
                <w:szCs w:val="14"/>
              </w:rPr>
              <w:t>0.002213</w:t>
            </w:r>
          </w:p>
        </w:tc>
        <w:tc>
          <w:tcPr>
            <w:tcW w:w="1094" w:type="dxa"/>
            <w:tcBorders>
              <w:left w:val="single" w:sz="12" w:space="0" w:color="auto"/>
            </w:tcBorders>
            <w:vAlign w:val="center"/>
          </w:tcPr>
          <w:p w:rsidR="004B0224" w:rsidRPr="003E72E8" w:rsidP="004B0224" w14:paraId="600650B6" w14:textId="77777777">
            <w:pPr>
              <w:widowControl/>
              <w:jc w:val="center"/>
              <w:rPr>
                <w:rFonts w:ascii="Arial" w:hAnsi="Arial" w:cs="Arial"/>
                <w:color w:val="auto"/>
                <w:sz w:val="14"/>
                <w:szCs w:val="14"/>
                <w:shd w:val="clear" w:color="auto" w:fill="auto"/>
              </w:rPr>
            </w:pPr>
            <w:r>
              <w:rPr>
                <w:rFonts w:ascii="Arial" w:hAnsi="Arial" w:cs="Arial"/>
                <w:sz w:val="14"/>
                <w:szCs w:val="14"/>
              </w:rPr>
              <w:t>0.002481</w:t>
            </w:r>
          </w:p>
        </w:tc>
        <w:tc>
          <w:tcPr>
            <w:tcW w:w="1095" w:type="dxa"/>
            <w:tcBorders>
              <w:right w:val="single" w:sz="12" w:space="0" w:color="auto"/>
            </w:tcBorders>
            <w:vAlign w:val="center"/>
          </w:tcPr>
          <w:p w:rsidR="004B0224" w:rsidRPr="003E72E8" w:rsidP="004B0224" w14:paraId="6D533B1E" w14:textId="77777777">
            <w:pPr>
              <w:widowControl/>
              <w:jc w:val="center"/>
              <w:rPr>
                <w:rFonts w:ascii="Arial" w:hAnsi="Arial" w:cs="Arial"/>
                <w:color w:val="auto"/>
                <w:sz w:val="14"/>
                <w:szCs w:val="14"/>
                <w:shd w:val="clear" w:color="auto" w:fill="auto"/>
              </w:rPr>
            </w:pPr>
            <w:r>
              <w:rPr>
                <w:rFonts w:ascii="Arial" w:hAnsi="Arial" w:cs="Arial"/>
                <w:sz w:val="14"/>
                <w:szCs w:val="14"/>
              </w:rPr>
              <w:t>0.490802</w:t>
            </w:r>
          </w:p>
        </w:tc>
        <w:tc>
          <w:tcPr>
            <w:tcW w:w="1094" w:type="dxa"/>
            <w:tcBorders>
              <w:left w:val="single" w:sz="12" w:space="0" w:color="auto"/>
            </w:tcBorders>
            <w:vAlign w:val="center"/>
          </w:tcPr>
          <w:p w:rsidR="004B0224" w:rsidRPr="003E72E8" w:rsidP="004B0224" w14:paraId="2D0FE868" w14:textId="77777777">
            <w:pPr>
              <w:widowControl/>
              <w:jc w:val="center"/>
              <w:rPr>
                <w:rFonts w:ascii="Arial" w:hAnsi="Arial" w:cs="Arial"/>
                <w:color w:val="auto"/>
                <w:sz w:val="14"/>
                <w:szCs w:val="14"/>
                <w:shd w:val="clear" w:color="auto" w:fill="auto"/>
              </w:rPr>
            </w:pPr>
            <w:r>
              <w:rPr>
                <w:rFonts w:ascii="Arial" w:hAnsi="Arial" w:cs="Arial"/>
                <w:sz w:val="14"/>
                <w:szCs w:val="14"/>
              </w:rPr>
              <w:t>0.001235</w:t>
            </w:r>
          </w:p>
        </w:tc>
        <w:tc>
          <w:tcPr>
            <w:tcW w:w="1094" w:type="dxa"/>
            <w:vAlign w:val="center"/>
          </w:tcPr>
          <w:p w:rsidR="004B0224" w:rsidRPr="003E72E8" w:rsidP="004B0224" w14:paraId="5653B705" w14:textId="77777777">
            <w:pPr>
              <w:widowControl/>
              <w:jc w:val="center"/>
              <w:rPr>
                <w:rFonts w:ascii="Arial" w:hAnsi="Arial" w:cs="Arial"/>
                <w:color w:val="auto"/>
                <w:sz w:val="14"/>
                <w:szCs w:val="14"/>
                <w:shd w:val="clear" w:color="auto" w:fill="auto"/>
              </w:rPr>
            </w:pPr>
            <w:r>
              <w:rPr>
                <w:rFonts w:ascii="Arial" w:hAnsi="Arial" w:cs="Arial"/>
                <w:sz w:val="14"/>
                <w:szCs w:val="14"/>
              </w:rPr>
              <w:t>0.200042</w:t>
            </w:r>
          </w:p>
        </w:tc>
        <w:tc>
          <w:tcPr>
            <w:tcW w:w="1095" w:type="dxa"/>
            <w:tcBorders>
              <w:right w:val="single" w:sz="12" w:space="0" w:color="auto"/>
            </w:tcBorders>
            <w:vAlign w:val="center"/>
          </w:tcPr>
          <w:p w:rsidR="004B0224" w:rsidRPr="003E72E8" w:rsidP="004B0224" w14:paraId="64A12177" w14:textId="77777777">
            <w:pPr>
              <w:widowControl/>
              <w:jc w:val="center"/>
              <w:rPr>
                <w:rFonts w:ascii="Arial" w:hAnsi="Arial" w:cs="Arial"/>
                <w:color w:val="auto"/>
                <w:sz w:val="14"/>
                <w:szCs w:val="14"/>
                <w:shd w:val="clear" w:color="auto" w:fill="auto"/>
              </w:rPr>
            </w:pPr>
            <w:r>
              <w:rPr>
                <w:rFonts w:ascii="Arial" w:hAnsi="Arial" w:cs="Arial"/>
                <w:sz w:val="14"/>
                <w:szCs w:val="14"/>
              </w:rPr>
              <w:t>0.044707</w:t>
            </w:r>
          </w:p>
        </w:tc>
        <w:tc>
          <w:tcPr>
            <w:tcW w:w="1176" w:type="dxa"/>
            <w:tcBorders>
              <w:left w:val="single" w:sz="12" w:space="0" w:color="auto"/>
              <w:right w:val="single" w:sz="12" w:space="0" w:color="auto"/>
            </w:tcBorders>
            <w:vAlign w:val="center"/>
          </w:tcPr>
          <w:p w:rsidR="004B0224" w:rsidRPr="003E72E8" w:rsidP="004B0224" w14:paraId="148DCC97" w14:textId="77777777">
            <w:pPr>
              <w:widowControl/>
              <w:jc w:val="center"/>
              <w:rPr>
                <w:rFonts w:ascii="Arial" w:hAnsi="Arial" w:cs="Arial"/>
                <w:color w:val="auto"/>
                <w:sz w:val="14"/>
                <w:szCs w:val="14"/>
                <w:shd w:val="clear" w:color="auto" w:fill="auto"/>
              </w:rPr>
            </w:pPr>
            <w:r>
              <w:rPr>
                <w:rFonts w:ascii="Arial" w:hAnsi="Arial" w:cs="Arial"/>
                <w:sz w:val="14"/>
                <w:szCs w:val="14"/>
              </w:rPr>
              <w:t>0.004528</w:t>
            </w:r>
          </w:p>
        </w:tc>
        <w:tc>
          <w:tcPr>
            <w:tcW w:w="1012" w:type="dxa"/>
            <w:tcBorders>
              <w:left w:val="single" w:sz="12" w:space="0" w:color="auto"/>
              <w:right w:val="single" w:sz="12" w:space="0" w:color="auto"/>
            </w:tcBorders>
            <w:vAlign w:val="center"/>
          </w:tcPr>
          <w:p w:rsidR="004B0224" w:rsidRPr="003E72E8" w:rsidP="004B0224" w14:paraId="1EEE8816" w14:textId="77777777">
            <w:pPr>
              <w:widowControl/>
              <w:jc w:val="center"/>
              <w:rPr>
                <w:rFonts w:ascii="Arial" w:hAnsi="Arial" w:cs="Arial"/>
                <w:color w:val="auto"/>
                <w:sz w:val="14"/>
                <w:szCs w:val="14"/>
                <w:shd w:val="clear" w:color="auto" w:fill="auto"/>
              </w:rPr>
            </w:pPr>
            <w:r>
              <w:rPr>
                <w:rFonts w:ascii="Arial" w:hAnsi="Arial" w:cs="Arial"/>
                <w:sz w:val="14"/>
                <w:szCs w:val="14"/>
              </w:rPr>
              <w:t>0.008533</w:t>
            </w:r>
          </w:p>
        </w:tc>
      </w:tr>
      <w:tr w14:paraId="3E05506A" w14:textId="77777777" w:rsidTr="00D46D62">
        <w:tblPrEx>
          <w:tblW w:w="10012" w:type="dxa"/>
          <w:tblInd w:w="-65" w:type="dxa"/>
          <w:tblLayout w:type="fixed"/>
          <w:tblCellMar>
            <w:left w:w="115" w:type="dxa"/>
            <w:right w:w="115" w:type="dxa"/>
          </w:tblCellMar>
          <w:tblLook w:val="01E0"/>
        </w:tblPrEx>
        <w:tc>
          <w:tcPr>
            <w:tcW w:w="1258" w:type="dxa"/>
            <w:tcBorders>
              <w:right w:val="single" w:sz="12" w:space="0" w:color="auto"/>
            </w:tcBorders>
            <w:tcMar>
              <w:left w:w="43" w:type="dxa"/>
              <w:right w:w="43" w:type="dxa"/>
            </w:tcMar>
            <w:vAlign w:val="bottom"/>
          </w:tcPr>
          <w:p w:rsidR="004B0224" w:rsidRPr="00A63087" w:rsidP="004B0224" w14:paraId="2D959FF4" w14:textId="77777777">
            <w:pPr>
              <w:pStyle w:val="BodyTextIndent"/>
              <w:tabs>
                <w:tab w:val="left" w:pos="5040"/>
              </w:tabs>
              <w:spacing w:line="240" w:lineRule="exact"/>
              <w:ind w:firstLine="0"/>
              <w:jc w:val="center"/>
              <w:rPr>
                <w:rFonts w:ascii="Arial" w:hAnsi="Arial"/>
                <w:color w:val="auto"/>
                <w:sz w:val="16"/>
                <w:szCs w:val="16"/>
                <w:shd w:val="clear" w:color="auto" w:fill="auto"/>
              </w:rPr>
            </w:pPr>
            <w:r>
              <w:rPr>
                <w:rFonts w:ascii="Arial" w:hAnsi="Arial"/>
                <w:sz w:val="16"/>
                <w:szCs w:val="16"/>
              </w:rPr>
              <w:t>Sept. 1, 2020</w:t>
            </w:r>
          </w:p>
        </w:tc>
        <w:tc>
          <w:tcPr>
            <w:tcW w:w="1094" w:type="dxa"/>
            <w:tcBorders>
              <w:left w:val="single" w:sz="12" w:space="0" w:color="auto"/>
              <w:right w:val="single" w:sz="12" w:space="0" w:color="auto"/>
            </w:tcBorders>
            <w:vAlign w:val="center"/>
          </w:tcPr>
          <w:p w:rsidR="004B0224" w:rsidP="004B0224" w14:paraId="60262589" w14:textId="77777777">
            <w:pPr>
              <w:jc w:val="center"/>
              <w:rPr>
                <w:rFonts w:ascii="Arial" w:hAnsi="Arial" w:cs="Arial"/>
                <w:color w:val="auto"/>
                <w:sz w:val="14"/>
                <w:szCs w:val="16"/>
                <w:shd w:val="clear" w:color="auto" w:fill="auto"/>
              </w:rPr>
            </w:pPr>
            <w:r>
              <w:rPr>
                <w:rFonts w:ascii="Arial" w:hAnsi="Arial" w:cs="Arial"/>
                <w:sz w:val="14"/>
                <w:szCs w:val="16"/>
              </w:rPr>
              <w:t>0.001287</w:t>
            </w:r>
          </w:p>
        </w:tc>
        <w:tc>
          <w:tcPr>
            <w:tcW w:w="1094" w:type="dxa"/>
            <w:tcBorders>
              <w:left w:val="single" w:sz="12" w:space="0" w:color="auto"/>
            </w:tcBorders>
            <w:vAlign w:val="center"/>
          </w:tcPr>
          <w:p w:rsidR="004B0224" w:rsidP="004B0224" w14:paraId="327AE711" w14:textId="77777777">
            <w:pPr>
              <w:jc w:val="center"/>
              <w:rPr>
                <w:rFonts w:ascii="Arial" w:hAnsi="Arial" w:cs="Arial"/>
                <w:color w:val="auto"/>
                <w:sz w:val="14"/>
                <w:szCs w:val="16"/>
                <w:shd w:val="clear" w:color="auto" w:fill="auto"/>
              </w:rPr>
            </w:pPr>
            <w:r>
              <w:rPr>
                <w:rFonts w:ascii="Arial" w:hAnsi="Arial" w:cs="Arial"/>
                <w:sz w:val="14"/>
                <w:szCs w:val="16"/>
              </w:rPr>
              <w:t>0.001374</w:t>
            </w:r>
          </w:p>
        </w:tc>
        <w:tc>
          <w:tcPr>
            <w:tcW w:w="1095" w:type="dxa"/>
            <w:tcBorders>
              <w:right w:val="single" w:sz="12" w:space="0" w:color="auto"/>
            </w:tcBorders>
            <w:vAlign w:val="center"/>
          </w:tcPr>
          <w:p w:rsidR="004B0224" w:rsidP="004B0224" w14:paraId="2FFF390A" w14:textId="77777777">
            <w:pPr>
              <w:jc w:val="center"/>
              <w:rPr>
                <w:rFonts w:ascii="Arial" w:hAnsi="Arial" w:cs="Arial"/>
                <w:color w:val="auto"/>
                <w:sz w:val="14"/>
                <w:szCs w:val="16"/>
                <w:shd w:val="clear" w:color="auto" w:fill="auto"/>
              </w:rPr>
            </w:pPr>
            <w:r>
              <w:rPr>
                <w:rFonts w:ascii="Arial" w:hAnsi="Arial" w:cs="Arial"/>
                <w:sz w:val="14"/>
                <w:szCs w:val="16"/>
              </w:rPr>
              <w:t>0.266647</w:t>
            </w:r>
          </w:p>
        </w:tc>
        <w:tc>
          <w:tcPr>
            <w:tcW w:w="1094" w:type="dxa"/>
            <w:tcBorders>
              <w:left w:val="single" w:sz="12" w:space="0" w:color="auto"/>
            </w:tcBorders>
            <w:vAlign w:val="center"/>
          </w:tcPr>
          <w:p w:rsidR="004B0224" w:rsidP="004B0224" w14:paraId="6D3C0182" w14:textId="77777777">
            <w:pPr>
              <w:jc w:val="center"/>
              <w:rPr>
                <w:rFonts w:ascii="Arial" w:hAnsi="Arial" w:cs="Arial"/>
                <w:color w:val="auto"/>
                <w:sz w:val="14"/>
                <w:szCs w:val="16"/>
                <w:shd w:val="clear" w:color="auto" w:fill="auto"/>
              </w:rPr>
            </w:pPr>
            <w:r>
              <w:rPr>
                <w:rFonts w:ascii="Arial" w:hAnsi="Arial" w:cs="Arial"/>
                <w:sz w:val="14"/>
                <w:szCs w:val="16"/>
              </w:rPr>
              <w:t>0.000620</w:t>
            </w:r>
          </w:p>
        </w:tc>
        <w:tc>
          <w:tcPr>
            <w:tcW w:w="1094" w:type="dxa"/>
            <w:vAlign w:val="center"/>
          </w:tcPr>
          <w:p w:rsidR="004B0224" w:rsidP="004B0224" w14:paraId="3212C001" w14:textId="77777777">
            <w:pPr>
              <w:jc w:val="center"/>
              <w:rPr>
                <w:rFonts w:ascii="Arial" w:hAnsi="Arial" w:cs="Arial"/>
                <w:color w:val="auto"/>
                <w:sz w:val="14"/>
                <w:szCs w:val="16"/>
                <w:shd w:val="clear" w:color="auto" w:fill="auto"/>
              </w:rPr>
            </w:pPr>
            <w:r>
              <w:rPr>
                <w:rFonts w:ascii="Arial" w:hAnsi="Arial" w:cs="Arial"/>
                <w:sz w:val="14"/>
                <w:szCs w:val="16"/>
              </w:rPr>
              <w:t>0.111613</w:t>
            </w:r>
          </w:p>
        </w:tc>
        <w:tc>
          <w:tcPr>
            <w:tcW w:w="1095" w:type="dxa"/>
            <w:tcBorders>
              <w:right w:val="single" w:sz="12" w:space="0" w:color="auto"/>
            </w:tcBorders>
            <w:vAlign w:val="center"/>
          </w:tcPr>
          <w:p w:rsidR="004B0224" w:rsidP="004B0224" w14:paraId="145CAFDF" w14:textId="77777777">
            <w:pPr>
              <w:ind w:right="-62"/>
              <w:jc w:val="center"/>
              <w:rPr>
                <w:rFonts w:ascii="Arial" w:hAnsi="Arial" w:cs="Arial"/>
                <w:color w:val="auto"/>
                <w:sz w:val="14"/>
                <w:szCs w:val="16"/>
                <w:shd w:val="clear" w:color="auto" w:fill="auto"/>
              </w:rPr>
            </w:pPr>
            <w:r>
              <w:rPr>
                <w:rFonts w:ascii="Arial" w:hAnsi="Arial" w:cs="Arial"/>
                <w:sz w:val="14"/>
                <w:szCs w:val="16"/>
              </w:rPr>
              <w:t>0.029207</w:t>
            </w:r>
          </w:p>
        </w:tc>
        <w:tc>
          <w:tcPr>
            <w:tcW w:w="1176" w:type="dxa"/>
            <w:tcBorders>
              <w:left w:val="single" w:sz="12" w:space="0" w:color="auto"/>
              <w:right w:val="single" w:sz="12" w:space="0" w:color="auto"/>
            </w:tcBorders>
            <w:vAlign w:val="center"/>
          </w:tcPr>
          <w:p w:rsidR="004B0224" w:rsidP="004B0224" w14:paraId="42D3B8C1" w14:textId="77777777">
            <w:pPr>
              <w:jc w:val="center"/>
              <w:rPr>
                <w:rFonts w:ascii="Arial" w:hAnsi="Arial" w:cs="Arial"/>
                <w:color w:val="auto"/>
                <w:sz w:val="14"/>
                <w:szCs w:val="16"/>
                <w:shd w:val="clear" w:color="auto" w:fill="auto"/>
              </w:rPr>
            </w:pPr>
            <w:r>
              <w:rPr>
                <w:rFonts w:ascii="Arial" w:hAnsi="Arial" w:cs="Arial"/>
                <w:sz w:val="14"/>
                <w:szCs w:val="16"/>
              </w:rPr>
              <w:t>0.002994</w:t>
            </w:r>
          </w:p>
        </w:tc>
        <w:tc>
          <w:tcPr>
            <w:tcW w:w="1012" w:type="dxa"/>
            <w:tcBorders>
              <w:left w:val="single" w:sz="12" w:space="0" w:color="auto"/>
              <w:right w:val="single" w:sz="12" w:space="0" w:color="auto"/>
            </w:tcBorders>
            <w:vAlign w:val="center"/>
          </w:tcPr>
          <w:p w:rsidR="004B0224" w:rsidP="004B0224" w14:paraId="4F63AD89" w14:textId="77777777">
            <w:pPr>
              <w:jc w:val="center"/>
              <w:rPr>
                <w:rFonts w:ascii="Arial" w:hAnsi="Arial" w:cs="Arial"/>
                <w:color w:val="auto"/>
                <w:sz w:val="14"/>
                <w:szCs w:val="16"/>
                <w:shd w:val="clear" w:color="auto" w:fill="auto"/>
              </w:rPr>
            </w:pPr>
            <w:r>
              <w:rPr>
                <w:rFonts w:ascii="Arial" w:hAnsi="Arial" w:cs="Arial"/>
                <w:sz w:val="14"/>
                <w:szCs w:val="16"/>
              </w:rPr>
              <w:t>0.004595</w:t>
            </w:r>
          </w:p>
        </w:tc>
      </w:tr>
      <w:tr w14:paraId="1C0A1C75" w14:textId="77777777" w:rsidTr="00D46D62">
        <w:tblPrEx>
          <w:tblW w:w="10012" w:type="dxa"/>
          <w:tblInd w:w="-65" w:type="dxa"/>
          <w:tblLayout w:type="fixed"/>
          <w:tblCellMar>
            <w:left w:w="115" w:type="dxa"/>
            <w:right w:w="115" w:type="dxa"/>
          </w:tblCellMar>
          <w:tblLook w:val="01E0"/>
        </w:tblPrEx>
        <w:tc>
          <w:tcPr>
            <w:tcW w:w="1258" w:type="dxa"/>
            <w:tcBorders>
              <w:right w:val="single" w:sz="12" w:space="0" w:color="auto"/>
            </w:tcBorders>
            <w:tcMar>
              <w:left w:w="43" w:type="dxa"/>
              <w:right w:w="43" w:type="dxa"/>
            </w:tcMar>
            <w:vAlign w:val="bottom"/>
          </w:tcPr>
          <w:p w:rsidR="004B0224" w:rsidRPr="00A63087" w:rsidP="004B0224" w14:paraId="6CEABEB5" w14:textId="77777777">
            <w:pPr>
              <w:pStyle w:val="BodyTextIndent"/>
              <w:tabs>
                <w:tab w:val="left" w:pos="5040"/>
              </w:tabs>
              <w:spacing w:line="240" w:lineRule="exact"/>
              <w:ind w:firstLine="0"/>
              <w:jc w:val="center"/>
              <w:rPr>
                <w:rFonts w:ascii="Arial" w:hAnsi="Arial"/>
                <w:color w:val="auto"/>
                <w:sz w:val="16"/>
                <w:szCs w:val="16"/>
                <w:shd w:val="clear" w:color="auto" w:fill="auto"/>
              </w:rPr>
            </w:pPr>
            <w:r>
              <w:rPr>
                <w:rFonts w:ascii="Arial" w:hAnsi="Arial"/>
                <w:sz w:val="16"/>
                <w:szCs w:val="16"/>
              </w:rPr>
              <w:t>Sept. 1, 2019</w:t>
            </w:r>
          </w:p>
        </w:tc>
        <w:tc>
          <w:tcPr>
            <w:tcW w:w="1094" w:type="dxa"/>
            <w:tcBorders>
              <w:left w:val="single" w:sz="12" w:space="0" w:color="auto"/>
              <w:right w:val="single" w:sz="12" w:space="0" w:color="auto"/>
            </w:tcBorders>
            <w:vAlign w:val="center"/>
          </w:tcPr>
          <w:p w:rsidR="004B0224" w:rsidP="004B0224" w14:paraId="04A31B8C" w14:textId="77777777">
            <w:pPr>
              <w:jc w:val="center"/>
              <w:rPr>
                <w:rFonts w:ascii="Arial" w:hAnsi="Arial" w:cs="Arial"/>
                <w:color w:val="auto"/>
                <w:sz w:val="14"/>
                <w:szCs w:val="16"/>
                <w:shd w:val="clear" w:color="auto" w:fill="auto"/>
              </w:rPr>
            </w:pPr>
            <w:r>
              <w:rPr>
                <w:rFonts w:ascii="Arial" w:hAnsi="Arial" w:cs="Arial"/>
                <w:sz w:val="14"/>
                <w:szCs w:val="16"/>
              </w:rPr>
              <w:t>0.000474</w:t>
            </w:r>
          </w:p>
        </w:tc>
        <w:tc>
          <w:tcPr>
            <w:tcW w:w="1094" w:type="dxa"/>
            <w:tcBorders>
              <w:left w:val="single" w:sz="12" w:space="0" w:color="auto"/>
            </w:tcBorders>
            <w:vAlign w:val="center"/>
          </w:tcPr>
          <w:p w:rsidR="004B0224" w:rsidP="004B0224" w14:paraId="00646BA8" w14:textId="77777777">
            <w:pPr>
              <w:jc w:val="center"/>
              <w:rPr>
                <w:rFonts w:ascii="Arial" w:hAnsi="Arial" w:cs="Arial"/>
                <w:color w:val="auto"/>
                <w:sz w:val="14"/>
                <w:szCs w:val="16"/>
                <w:shd w:val="clear" w:color="auto" w:fill="auto"/>
              </w:rPr>
            </w:pPr>
            <w:r>
              <w:rPr>
                <w:rFonts w:ascii="Arial" w:hAnsi="Arial" w:cs="Arial"/>
                <w:sz w:val="14"/>
                <w:szCs w:val="16"/>
              </w:rPr>
              <w:t>0.000503</w:t>
            </w:r>
          </w:p>
        </w:tc>
        <w:tc>
          <w:tcPr>
            <w:tcW w:w="1095" w:type="dxa"/>
            <w:tcBorders>
              <w:right w:val="single" w:sz="12" w:space="0" w:color="auto"/>
            </w:tcBorders>
            <w:vAlign w:val="center"/>
          </w:tcPr>
          <w:p w:rsidR="004B0224" w:rsidP="004B0224" w14:paraId="2782BC70" w14:textId="77777777">
            <w:pPr>
              <w:jc w:val="center"/>
              <w:rPr>
                <w:rFonts w:ascii="Arial" w:hAnsi="Arial" w:cs="Arial"/>
                <w:color w:val="auto"/>
                <w:sz w:val="14"/>
                <w:szCs w:val="16"/>
                <w:shd w:val="clear" w:color="auto" w:fill="auto"/>
              </w:rPr>
            </w:pPr>
            <w:r>
              <w:rPr>
                <w:rFonts w:ascii="Arial" w:hAnsi="Arial" w:cs="Arial"/>
                <w:sz w:val="14"/>
                <w:szCs w:val="16"/>
              </w:rPr>
              <w:t>0.099593</w:t>
            </w:r>
          </w:p>
        </w:tc>
        <w:tc>
          <w:tcPr>
            <w:tcW w:w="1094" w:type="dxa"/>
            <w:tcBorders>
              <w:left w:val="single" w:sz="12" w:space="0" w:color="auto"/>
            </w:tcBorders>
            <w:vAlign w:val="center"/>
          </w:tcPr>
          <w:p w:rsidR="004B0224" w:rsidP="004B0224" w14:paraId="5D83D533" w14:textId="77777777">
            <w:pPr>
              <w:jc w:val="center"/>
              <w:rPr>
                <w:rFonts w:ascii="Arial" w:hAnsi="Arial" w:cs="Arial"/>
                <w:color w:val="auto"/>
                <w:sz w:val="14"/>
                <w:szCs w:val="16"/>
                <w:shd w:val="clear" w:color="auto" w:fill="auto"/>
              </w:rPr>
            </w:pPr>
            <w:r>
              <w:rPr>
                <w:rFonts w:ascii="Arial" w:hAnsi="Arial" w:cs="Arial"/>
                <w:sz w:val="14"/>
                <w:szCs w:val="16"/>
              </w:rPr>
              <w:t>0.000221</w:t>
            </w:r>
          </w:p>
        </w:tc>
        <w:tc>
          <w:tcPr>
            <w:tcW w:w="1094" w:type="dxa"/>
            <w:vAlign w:val="center"/>
          </w:tcPr>
          <w:p w:rsidR="004B0224" w:rsidP="004B0224" w14:paraId="2596FCD1" w14:textId="77777777">
            <w:pPr>
              <w:jc w:val="center"/>
              <w:rPr>
                <w:rFonts w:ascii="Arial" w:hAnsi="Arial" w:cs="Arial"/>
                <w:color w:val="auto"/>
                <w:sz w:val="14"/>
                <w:szCs w:val="16"/>
                <w:shd w:val="clear" w:color="auto" w:fill="auto"/>
              </w:rPr>
            </w:pPr>
            <w:r>
              <w:rPr>
                <w:rFonts w:ascii="Arial" w:hAnsi="Arial" w:cs="Arial"/>
                <w:sz w:val="14"/>
                <w:szCs w:val="16"/>
              </w:rPr>
              <w:t>0.046956</w:t>
            </w:r>
          </w:p>
        </w:tc>
        <w:tc>
          <w:tcPr>
            <w:tcW w:w="1095" w:type="dxa"/>
            <w:tcBorders>
              <w:right w:val="single" w:sz="12" w:space="0" w:color="auto"/>
            </w:tcBorders>
            <w:vAlign w:val="center"/>
          </w:tcPr>
          <w:p w:rsidR="004B0224" w:rsidP="004B0224" w14:paraId="2C6D97FF" w14:textId="77777777">
            <w:pPr>
              <w:ind w:right="-62"/>
              <w:jc w:val="center"/>
              <w:rPr>
                <w:rFonts w:ascii="Arial" w:hAnsi="Arial" w:cs="Arial"/>
                <w:color w:val="auto"/>
                <w:sz w:val="14"/>
                <w:szCs w:val="16"/>
                <w:shd w:val="clear" w:color="auto" w:fill="auto"/>
              </w:rPr>
            </w:pPr>
            <w:r>
              <w:rPr>
                <w:rFonts w:ascii="Arial" w:hAnsi="Arial" w:cs="Arial"/>
                <w:sz w:val="14"/>
                <w:szCs w:val="16"/>
              </w:rPr>
              <w:t>0.012099</w:t>
            </w:r>
          </w:p>
        </w:tc>
        <w:tc>
          <w:tcPr>
            <w:tcW w:w="1176" w:type="dxa"/>
            <w:tcBorders>
              <w:left w:val="single" w:sz="12" w:space="0" w:color="auto"/>
              <w:right w:val="single" w:sz="12" w:space="0" w:color="auto"/>
            </w:tcBorders>
            <w:vAlign w:val="center"/>
          </w:tcPr>
          <w:p w:rsidR="004B0224" w:rsidP="004B0224" w14:paraId="036CE2B7" w14:textId="77777777">
            <w:pPr>
              <w:jc w:val="center"/>
              <w:rPr>
                <w:rFonts w:ascii="Arial" w:hAnsi="Arial" w:cs="Arial"/>
                <w:color w:val="auto"/>
                <w:sz w:val="14"/>
                <w:szCs w:val="16"/>
                <w:shd w:val="clear" w:color="auto" w:fill="auto"/>
              </w:rPr>
            </w:pPr>
            <w:r>
              <w:rPr>
                <w:rFonts w:ascii="Arial" w:hAnsi="Arial" w:cs="Arial"/>
                <w:sz w:val="14"/>
                <w:szCs w:val="16"/>
              </w:rPr>
              <w:t>0.001175</w:t>
            </w:r>
          </w:p>
        </w:tc>
        <w:tc>
          <w:tcPr>
            <w:tcW w:w="1012" w:type="dxa"/>
            <w:tcBorders>
              <w:left w:val="single" w:sz="12" w:space="0" w:color="auto"/>
              <w:right w:val="single" w:sz="12" w:space="0" w:color="auto"/>
            </w:tcBorders>
            <w:vAlign w:val="center"/>
          </w:tcPr>
          <w:p w:rsidR="004B0224" w:rsidP="004B0224" w14:paraId="03422821" w14:textId="77777777">
            <w:pPr>
              <w:jc w:val="center"/>
              <w:rPr>
                <w:rFonts w:ascii="Arial" w:hAnsi="Arial" w:cs="Arial"/>
                <w:color w:val="auto"/>
                <w:sz w:val="14"/>
                <w:szCs w:val="16"/>
                <w:shd w:val="clear" w:color="auto" w:fill="auto"/>
              </w:rPr>
            </w:pPr>
            <w:r>
              <w:rPr>
                <w:rFonts w:ascii="Arial" w:hAnsi="Arial" w:cs="Arial"/>
                <w:sz w:val="14"/>
                <w:szCs w:val="16"/>
              </w:rPr>
              <w:t>0.001633</w:t>
            </w:r>
          </w:p>
        </w:tc>
      </w:tr>
      <w:tr w14:paraId="412C39FB" w14:textId="77777777" w:rsidTr="00D46D62">
        <w:tblPrEx>
          <w:tblW w:w="10012" w:type="dxa"/>
          <w:tblInd w:w="-65" w:type="dxa"/>
          <w:tblLayout w:type="fixed"/>
          <w:tblCellMar>
            <w:left w:w="115" w:type="dxa"/>
            <w:right w:w="115" w:type="dxa"/>
          </w:tblCellMar>
          <w:tblLook w:val="01E0"/>
        </w:tblPrEx>
        <w:tc>
          <w:tcPr>
            <w:tcW w:w="1258" w:type="dxa"/>
            <w:tcBorders>
              <w:right w:val="single" w:sz="12" w:space="0" w:color="auto"/>
            </w:tcBorders>
            <w:tcMar>
              <w:left w:w="43" w:type="dxa"/>
              <w:right w:w="43" w:type="dxa"/>
            </w:tcMar>
            <w:vAlign w:val="bottom"/>
          </w:tcPr>
          <w:p w:rsidR="004B0224" w:rsidRPr="00036C53" w:rsidP="004B0224" w14:paraId="4AF27D43" w14:textId="77777777">
            <w:pPr>
              <w:pStyle w:val="BodyTextIndent"/>
              <w:tabs>
                <w:tab w:val="left" w:pos="5040"/>
              </w:tabs>
              <w:spacing w:line="240" w:lineRule="exact"/>
              <w:ind w:firstLine="0"/>
              <w:jc w:val="center"/>
              <w:rPr>
                <w:rFonts w:ascii="Arial" w:hAnsi="Arial"/>
                <w:color w:val="auto"/>
                <w:sz w:val="16"/>
                <w:szCs w:val="16"/>
                <w:shd w:val="clear" w:color="auto" w:fill="auto"/>
              </w:rPr>
            </w:pPr>
            <w:r w:rsidRPr="00A63087">
              <w:rPr>
                <w:rFonts w:ascii="Arial" w:hAnsi="Arial"/>
                <w:sz w:val="16"/>
                <w:szCs w:val="16"/>
              </w:rPr>
              <w:t>Sept</w:t>
            </w:r>
            <w:r>
              <w:rPr>
                <w:rFonts w:ascii="Arial" w:hAnsi="Arial"/>
                <w:sz w:val="16"/>
                <w:szCs w:val="16"/>
              </w:rPr>
              <w:t>.</w:t>
            </w:r>
            <w:r w:rsidRPr="00A63087">
              <w:rPr>
                <w:rFonts w:ascii="Arial" w:hAnsi="Arial"/>
                <w:sz w:val="16"/>
                <w:szCs w:val="16"/>
              </w:rPr>
              <w:t xml:space="preserve"> 1, 201</w:t>
            </w:r>
            <w:r>
              <w:rPr>
                <w:rFonts w:ascii="Arial" w:hAnsi="Arial"/>
                <w:sz w:val="16"/>
                <w:szCs w:val="16"/>
              </w:rPr>
              <w:t>8</w:t>
            </w:r>
          </w:p>
        </w:tc>
        <w:tc>
          <w:tcPr>
            <w:tcW w:w="1094" w:type="dxa"/>
            <w:tcBorders>
              <w:left w:val="single" w:sz="12" w:space="0" w:color="auto"/>
              <w:bottom w:val="single" w:sz="12" w:space="0" w:color="auto"/>
              <w:right w:val="single" w:sz="12" w:space="0" w:color="auto"/>
            </w:tcBorders>
            <w:vAlign w:val="center"/>
          </w:tcPr>
          <w:p w:rsidR="004B0224" w:rsidRPr="003A3E0D" w:rsidP="004B0224" w14:paraId="53BC4C21" w14:textId="77777777">
            <w:pPr>
              <w:jc w:val="center"/>
              <w:rPr>
                <w:rFonts w:ascii="Arial" w:hAnsi="Arial" w:cs="Arial"/>
                <w:color w:val="auto"/>
                <w:sz w:val="14"/>
                <w:szCs w:val="16"/>
                <w:shd w:val="clear" w:color="auto" w:fill="auto"/>
              </w:rPr>
            </w:pPr>
            <w:r>
              <w:rPr>
                <w:rFonts w:ascii="Arial" w:hAnsi="Arial" w:cs="Arial"/>
                <w:sz w:val="14"/>
                <w:szCs w:val="16"/>
              </w:rPr>
              <w:t>0.000183</w:t>
            </w:r>
          </w:p>
        </w:tc>
        <w:tc>
          <w:tcPr>
            <w:tcW w:w="1094" w:type="dxa"/>
            <w:tcBorders>
              <w:left w:val="single" w:sz="12" w:space="0" w:color="auto"/>
              <w:bottom w:val="single" w:sz="12" w:space="0" w:color="auto"/>
            </w:tcBorders>
            <w:vAlign w:val="center"/>
          </w:tcPr>
          <w:p w:rsidR="004B0224" w:rsidRPr="003A3E0D" w:rsidP="004B0224" w14:paraId="79C17131" w14:textId="6D818B69">
            <w:pPr>
              <w:jc w:val="center"/>
              <w:rPr>
                <w:rFonts w:ascii="Arial" w:hAnsi="Arial" w:cs="Arial"/>
                <w:color w:val="auto"/>
                <w:sz w:val="14"/>
                <w:szCs w:val="16"/>
                <w:shd w:val="clear" w:color="auto" w:fill="auto"/>
              </w:rPr>
            </w:pPr>
            <w:r>
              <w:rPr>
                <w:rFonts w:ascii="Arial" w:hAnsi="Arial" w:cs="Arial"/>
                <w:sz w:val="14"/>
                <w:szCs w:val="16"/>
              </w:rPr>
              <w:t>0.000190</w:t>
            </w:r>
          </w:p>
        </w:tc>
        <w:tc>
          <w:tcPr>
            <w:tcW w:w="1095" w:type="dxa"/>
            <w:tcBorders>
              <w:bottom w:val="single" w:sz="12" w:space="0" w:color="auto"/>
              <w:right w:val="single" w:sz="12" w:space="0" w:color="auto"/>
            </w:tcBorders>
            <w:vAlign w:val="center"/>
          </w:tcPr>
          <w:p w:rsidR="004B0224" w:rsidRPr="003A3E0D" w:rsidP="004B0224" w14:paraId="0D205186" w14:textId="77777777">
            <w:pPr>
              <w:jc w:val="center"/>
              <w:rPr>
                <w:rFonts w:ascii="Arial" w:hAnsi="Arial" w:cs="Arial"/>
                <w:color w:val="auto"/>
                <w:sz w:val="14"/>
                <w:szCs w:val="16"/>
                <w:shd w:val="clear" w:color="auto" w:fill="auto"/>
              </w:rPr>
            </w:pPr>
            <w:r>
              <w:rPr>
                <w:rFonts w:ascii="Arial" w:hAnsi="Arial" w:cs="Arial"/>
                <w:sz w:val="14"/>
                <w:szCs w:val="16"/>
              </w:rPr>
              <w:t>0.037928</w:t>
            </w:r>
          </w:p>
        </w:tc>
        <w:tc>
          <w:tcPr>
            <w:tcW w:w="1094" w:type="dxa"/>
            <w:tcBorders>
              <w:left w:val="single" w:sz="12" w:space="0" w:color="auto"/>
              <w:bottom w:val="single" w:sz="12" w:space="0" w:color="auto"/>
            </w:tcBorders>
            <w:vAlign w:val="center"/>
          </w:tcPr>
          <w:p w:rsidR="004B0224" w:rsidRPr="003A3E0D" w:rsidP="004B0224" w14:paraId="2BE44ABC" w14:textId="77777777">
            <w:pPr>
              <w:jc w:val="center"/>
              <w:rPr>
                <w:rFonts w:ascii="Arial" w:hAnsi="Arial" w:cs="Arial"/>
                <w:color w:val="auto"/>
                <w:sz w:val="14"/>
                <w:szCs w:val="16"/>
                <w:shd w:val="clear" w:color="auto" w:fill="auto"/>
              </w:rPr>
            </w:pPr>
            <w:r>
              <w:rPr>
                <w:rFonts w:ascii="Arial" w:hAnsi="Arial" w:cs="Arial"/>
                <w:sz w:val="14"/>
                <w:szCs w:val="16"/>
              </w:rPr>
              <w:t>0.000092</w:t>
            </w:r>
          </w:p>
        </w:tc>
        <w:tc>
          <w:tcPr>
            <w:tcW w:w="1094" w:type="dxa"/>
            <w:tcBorders>
              <w:bottom w:val="single" w:sz="12" w:space="0" w:color="auto"/>
            </w:tcBorders>
            <w:vAlign w:val="center"/>
          </w:tcPr>
          <w:p w:rsidR="004B0224" w:rsidRPr="003A3E0D" w:rsidP="004B0224" w14:paraId="7013EBF4" w14:textId="77777777">
            <w:pPr>
              <w:jc w:val="center"/>
              <w:rPr>
                <w:rFonts w:ascii="Arial" w:hAnsi="Arial" w:cs="Arial"/>
                <w:color w:val="auto"/>
                <w:sz w:val="14"/>
                <w:szCs w:val="16"/>
                <w:shd w:val="clear" w:color="auto" w:fill="auto"/>
              </w:rPr>
            </w:pPr>
            <w:r>
              <w:rPr>
                <w:rFonts w:ascii="Arial" w:hAnsi="Arial" w:cs="Arial"/>
                <w:sz w:val="14"/>
                <w:szCs w:val="16"/>
              </w:rPr>
              <w:t>0.019495</w:t>
            </w:r>
          </w:p>
        </w:tc>
        <w:tc>
          <w:tcPr>
            <w:tcW w:w="1095" w:type="dxa"/>
            <w:tcBorders>
              <w:bottom w:val="single" w:sz="12" w:space="0" w:color="auto"/>
              <w:right w:val="single" w:sz="12" w:space="0" w:color="auto"/>
            </w:tcBorders>
            <w:vAlign w:val="center"/>
          </w:tcPr>
          <w:p w:rsidR="004B0224" w:rsidRPr="003A3E0D" w:rsidP="004B0224" w14:paraId="474FF1CA" w14:textId="77777777">
            <w:pPr>
              <w:ind w:right="-62"/>
              <w:jc w:val="center"/>
              <w:rPr>
                <w:rFonts w:ascii="Arial" w:hAnsi="Arial" w:cs="Arial"/>
                <w:color w:val="auto"/>
                <w:sz w:val="14"/>
                <w:szCs w:val="16"/>
                <w:shd w:val="clear" w:color="auto" w:fill="auto"/>
              </w:rPr>
            </w:pPr>
            <w:r>
              <w:rPr>
                <w:rFonts w:ascii="Arial" w:hAnsi="Arial" w:cs="Arial"/>
                <w:sz w:val="14"/>
                <w:szCs w:val="16"/>
              </w:rPr>
              <w:t>0.005353</w:t>
            </w:r>
          </w:p>
        </w:tc>
        <w:tc>
          <w:tcPr>
            <w:tcW w:w="1176" w:type="dxa"/>
            <w:tcBorders>
              <w:left w:val="single" w:sz="12" w:space="0" w:color="auto"/>
              <w:bottom w:val="single" w:sz="12" w:space="0" w:color="auto"/>
              <w:right w:val="single" w:sz="12" w:space="0" w:color="auto"/>
            </w:tcBorders>
            <w:vAlign w:val="center"/>
          </w:tcPr>
          <w:p w:rsidR="004B0224" w:rsidRPr="003A3E0D" w:rsidP="004B0224" w14:paraId="60FBBFDA" w14:textId="77777777">
            <w:pPr>
              <w:jc w:val="center"/>
              <w:rPr>
                <w:rFonts w:ascii="Arial" w:hAnsi="Arial" w:cs="Arial"/>
                <w:color w:val="auto"/>
                <w:sz w:val="14"/>
                <w:szCs w:val="16"/>
                <w:shd w:val="clear" w:color="auto" w:fill="auto"/>
              </w:rPr>
            </w:pPr>
            <w:r>
              <w:rPr>
                <w:rFonts w:ascii="Arial" w:hAnsi="Arial" w:cs="Arial"/>
                <w:sz w:val="14"/>
                <w:szCs w:val="16"/>
              </w:rPr>
              <w:t>0.000486</w:t>
            </w:r>
          </w:p>
        </w:tc>
        <w:tc>
          <w:tcPr>
            <w:tcW w:w="1012" w:type="dxa"/>
            <w:tcBorders>
              <w:left w:val="single" w:sz="12" w:space="0" w:color="auto"/>
              <w:bottom w:val="single" w:sz="12" w:space="0" w:color="auto"/>
              <w:right w:val="single" w:sz="12" w:space="0" w:color="auto"/>
            </w:tcBorders>
            <w:vAlign w:val="center"/>
          </w:tcPr>
          <w:p w:rsidR="004B0224" w:rsidRPr="003A3E0D" w:rsidP="004B0224" w14:paraId="34FBF67F" w14:textId="77777777">
            <w:pPr>
              <w:jc w:val="center"/>
              <w:rPr>
                <w:rFonts w:ascii="Arial" w:hAnsi="Arial" w:cs="Arial"/>
                <w:color w:val="auto"/>
                <w:sz w:val="14"/>
                <w:szCs w:val="16"/>
                <w:shd w:val="clear" w:color="auto" w:fill="auto"/>
              </w:rPr>
            </w:pPr>
            <w:r>
              <w:rPr>
                <w:rFonts w:ascii="Arial" w:hAnsi="Arial" w:cs="Arial"/>
                <w:sz w:val="14"/>
                <w:szCs w:val="16"/>
              </w:rPr>
              <w:t>0.000595</w:t>
            </w:r>
          </w:p>
        </w:tc>
      </w:tr>
    </w:tbl>
    <w:p w:rsidR="00D46D62" w14:paraId="58B935D6" w14:textId="77777777">
      <w:pPr>
        <w:pStyle w:val="BodyTextIndent"/>
        <w:tabs>
          <w:tab w:val="left" w:pos="5040"/>
        </w:tabs>
        <w:spacing w:line="240" w:lineRule="exact"/>
        <w:ind w:firstLine="0"/>
        <w:jc w:val="left"/>
        <w:rPr>
          <w:rFonts w:ascii="Arial" w:hAnsi="Arial"/>
          <w:color w:val="auto"/>
          <w:sz w:val="16"/>
          <w:szCs w:val="16"/>
          <w:shd w:val="clear" w:color="auto" w:fill="auto"/>
        </w:rPr>
      </w:pPr>
    </w:p>
    <w:p w:rsidR="00D46D62" w:rsidRPr="00D46D62" w:rsidP="00D46D62" w14:paraId="545342E9" w14:textId="77777777">
      <w:pPr>
        <w:rPr>
          <w:color w:val="auto"/>
          <w:shd w:val="clear" w:color="auto" w:fill="auto"/>
        </w:rPr>
      </w:pPr>
    </w:p>
    <w:p w:rsidR="00D46D62" w:rsidRPr="00D46D62" w:rsidP="00D46D62" w14:paraId="193ABB44" w14:textId="77777777">
      <w:pPr>
        <w:rPr>
          <w:color w:val="auto"/>
          <w:shd w:val="clear" w:color="auto" w:fill="auto"/>
        </w:rPr>
      </w:pPr>
    </w:p>
    <w:p w:rsidR="00D46D62" w:rsidP="00D46D62" w14:paraId="7D2ED247" w14:textId="26C90710">
      <w:pPr>
        <w:rPr>
          <w:color w:val="auto"/>
          <w:shd w:val="clear" w:color="auto" w:fill="auto"/>
        </w:rPr>
      </w:pPr>
    </w:p>
    <w:p w:rsidR="00B830D4" w:rsidRPr="00D46D62" w:rsidP="00D46D62" w14:paraId="0845DEF0" w14:textId="087C17A0">
      <w:pPr>
        <w:tabs>
          <w:tab w:val="left" w:pos="4090"/>
        </w:tabs>
        <w:rPr>
          <w:color w:val="auto"/>
          <w:shd w:val="clear" w:color="auto" w:fill="auto"/>
        </w:rPr>
      </w:pPr>
      <w:r>
        <w:tab/>
      </w:r>
    </w:p>
    <w:sectPr w:rsidSect="000D0A97">
      <w:headerReference w:type="even" r:id="rId6"/>
      <w:headerReference w:type="first" r:id="rId7"/>
      <w:endnotePr>
        <w:numFmt w:val="decimal"/>
      </w:endnotePr>
      <w:type w:val="continuous"/>
      <w:pgSz w:w="12240" w:h="15840" w:code="1"/>
      <w:pgMar w:top="360" w:right="1166" w:bottom="259" w:left="1440" w:header="360" w:footer="432"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Goudy Stout">
    <w:panose1 w:val="0202090407030B020401"/>
    <w:charset w:val="00"/>
    <w:family w:val="roman"/>
    <w:pitch w:val="variable"/>
    <w:sig w:usb0="00000003" w:usb1="00000000" w:usb2="00000000" w:usb3="00000000" w:csb0="0000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1394" w14:paraId="7A5CFFBC" w14:textId="77777777">
    <w:pPr>
      <w:pStyle w:val="Header"/>
      <w:rPr>
        <w:color w:val="C0C0C0"/>
        <w:shd w:val="clear" w:color="auto" w:fill="auto"/>
      </w:rPr>
    </w:pPr>
    <w:r>
      <w:rPr>
        <w:noProof/>
      </w:rPr>
      <mc:AlternateContent>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985510" cy="2393950"/>
              <wp:effectExtent l="0" t="1524000" r="0" b="1377950"/>
              <wp:wrapNone/>
              <wp:docPr id="4" name="WordArt 4"/>
              <wp:cNvGraphicFramePr/>
              <a:graphic xmlns:a="http://schemas.openxmlformats.org/drawingml/2006/main">
                <a:graphicData uri="http://schemas.microsoft.com/office/word/2010/wordprocessingShape">
                  <wps:wsp xmlns:wps="http://schemas.microsoft.com/office/word/2010/wordprocessingShape">
                    <wps:cNvSpPr txBox="1">
                      <a:spLocks noChangeArrowheads="1" noChangeShapeType="1" noTextEdit="1"/>
                    </wps:cNvSpPr>
                    <wps:spPr bwMode="auto">
                      <a:xfrm rot="18900000">
                        <a:off x="0" y="0"/>
                        <a:ext cx="5985510" cy="2393950"/>
                      </a:xfrm>
                      <a:prstGeom prst="rect">
                        <a:avLst/>
                      </a:prstGeom>
                      <a:extLst>
                        <a:ext xmlns:a="http://schemas.openxmlformats.org/drawingml/2006/main" uri="{91240B29-F687-4F45-9708-019B960494DF}">
                          <a14:hiddenLine xmlns:a14="http://schemas.microsoft.com/office/drawing/2010/main" w="9525">
                            <a:solidFill>
                              <a:srgbClr val="000000"/>
                            </a:solidFill>
                            <a:round/>
                            <a:headEnd/>
                            <a:tailEnd/>
                          </a14:hiddenLine>
                        </a:ext>
                      </a:extLst>
                    </wps:spPr>
                    <wps:txbx>
                      <w:txbxContent>
                        <w:p w:rsidR="00851039" w:rsidP="00851039" w14:textId="77777777">
                          <w:pPr>
                            <w:pStyle w:val="NormalWeb"/>
                            <w:spacing w:before="0" w:beforeAutospacing="0" w:after="0" w:afterAutospacing="0"/>
                            <w:jc w:val="center"/>
                            <w:rPr>
                              <w:color w:val="C0C0C0"/>
                              <w:shd w:val="clear" w:color="auto" w:fill="auto"/>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 o:spid="_x0000_s2049" type="#_x0000_t202" style="width:471.3pt;height:188.5pt;margin-top:0;margin-left:0;mso-height-percent:0;mso-height-relative:page;mso-position-horizontal:center;mso-position-horizontal-relative:margin;mso-position-vertical:center;mso-position-vertical-relative:margin;mso-width-percent:0;mso-width-relative:page;mso-wrap-distance-bottom:0;mso-wrap-distance-left:9pt;mso-wrap-distance-right:9pt;mso-wrap-distance-top:0;mso-wrap-style:square;position:absolute;rotation:-45;visibility:visible;v-text-anchor:top;z-index:-251655168" o:allowincell="f" filled="f" stroked="f">
              <v:stroke joinstyle="round"/>
              <o:lock v:ext="edit" shapetype="t"/>
              <v:textbox style="mso-fit-shape-to-text:t">
                <w:txbxContent>
                  <w:p w:rsidR="00851039" w:rsidP="00851039" w14:paraId="2CA9039A" w14:textId="77777777">
                    <w:pPr>
                      <w:pStyle w:val="NormalWeb"/>
                      <w:spacing w:before="0" w:beforeAutospacing="0" w:after="0" w:afterAutospacing="0"/>
                      <w:jc w:val="center"/>
                      <w:rPr>
                        <w:color w:val="C0C0C0"/>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1394" w14:paraId="1054A527" w14:textId="77777777">
    <w:pPr>
      <w:pStyle w:val="Header"/>
      <w:framePr w:wrap="around" w:vAnchor="text" w:hAnchor="margin" w:xAlign="right" w:y="1"/>
      <w:rPr>
        <w:rStyle w:val="PageNumber"/>
        <w:color w:val="C0C0C0"/>
        <w:shd w:val="clear" w:color="auto" w:fill="auto"/>
      </w:rPr>
    </w:pPr>
  </w:p>
  <w:p w:rsidR="00571394" w14:paraId="1A507993" w14:textId="77777777">
    <w:pPr>
      <w:tabs>
        <w:tab w:val="center" w:pos="4860"/>
      </w:tabs>
      <w:ind w:right="360"/>
      <w:rPr>
        <w:rFonts w:ascii="Arial" w:hAnsi="Arial"/>
        <w:b/>
        <w:color w:val="auto"/>
        <w:sz w:val="22"/>
        <w:shd w:val="clear" w:color="auto" w:fill="auto"/>
      </w:rPr>
    </w:pPr>
    <w:r>
      <w:rPr>
        <w:rFonts w:ascii="Goudy Stout" w:hAnsi="Goudy Stout"/>
        <w:b/>
        <w:sz w:val="22"/>
      </w:rPr>
      <w:tab/>
    </w:r>
    <w:r>
      <w:rPr>
        <w:rFonts w:ascii="Arial" w:hAnsi="Arial"/>
        <w:b/>
        <w:sz w:val="22"/>
      </w:rPr>
      <w:t>Tariff for Retail Delivery Service</w:t>
    </w:r>
  </w:p>
  <w:p w:rsidR="00571394" w14:paraId="1C54BCEB" w14:textId="77777777">
    <w:pPr>
      <w:jc w:val="center"/>
      <w:rPr>
        <w:rFonts w:ascii="Arial" w:hAnsi="Arial"/>
        <w:b/>
        <w:color w:val="auto"/>
        <w:sz w:val="22"/>
        <w:shd w:val="clear" w:color="auto" w:fill="auto"/>
      </w:rPr>
    </w:pPr>
    <w:r>
      <w:rPr>
        <w:rFonts w:ascii="Arial" w:hAnsi="Arial"/>
        <w:b/>
        <w:sz w:val="22"/>
      </w:rPr>
      <w:t>Oncor Electric Delivery Company LLC</w:t>
    </w:r>
  </w:p>
  <w:p w:rsidR="00571394" w14:paraId="79E045E7" w14:textId="77777777">
    <w:pPr>
      <w:tabs>
        <w:tab w:val="right" w:pos="9720"/>
      </w:tabs>
      <w:rPr>
        <w:rFonts w:ascii="Arial" w:hAnsi="Arial"/>
        <w:color w:val="auto"/>
        <w:sz w:val="18"/>
        <w:shd w:val="clear" w:color="auto" w:fill="auto"/>
      </w:rPr>
    </w:pPr>
    <w:r>
      <w:rPr>
        <w:rFonts w:ascii="Arial" w:hAnsi="Arial"/>
        <w:b/>
        <w:sz w:val="18"/>
      </w:rPr>
      <w:t>6.1.1 Delivery System Charges</w:t>
    </w:r>
    <w:r w:rsidR="00271603">
      <w:rPr>
        <w:rFonts w:ascii="Arial" w:hAnsi="Arial"/>
        <w:sz w:val="18"/>
      </w:rPr>
      <w:tab/>
      <w:t>Sheet:  6.</w:t>
    </w:r>
    <w:r w:rsidR="00A36227">
      <w:rPr>
        <w:rFonts w:ascii="Arial" w:hAnsi="Arial"/>
        <w:sz w:val="18"/>
      </w:rPr>
      <w:t>4</w:t>
    </w:r>
  </w:p>
  <w:p w:rsidR="00571394" w14:paraId="2BE6BA83" w14:textId="77777777">
    <w:pPr>
      <w:tabs>
        <w:tab w:val="right" w:pos="9720"/>
      </w:tabs>
      <w:rPr>
        <w:rFonts w:ascii="Arial" w:hAnsi="Arial"/>
        <w:color w:val="auto"/>
        <w:sz w:val="18"/>
        <w:shd w:val="clear" w:color="auto" w:fill="auto"/>
      </w:rPr>
    </w:pPr>
    <w:r>
      <w:rPr>
        <w:rFonts w:ascii="Arial" w:hAnsi="Arial"/>
        <w:sz w:val="18"/>
      </w:rPr>
      <w:t>Applicable:  Entire Certified Service Area</w:t>
    </w:r>
    <w:r>
      <w:rPr>
        <w:rFonts w:ascii="Arial" w:hAnsi="Arial"/>
        <w:sz w:val="18"/>
      </w:rPr>
      <w:tab/>
      <w:t>Page</w:t>
    </w:r>
    <w:r w:rsidRPr="00EE588F">
      <w:rPr>
        <w:rFonts w:ascii="Arial" w:hAnsi="Arial" w:cs="Arial"/>
        <w:sz w:val="18"/>
        <w:szCs w:val="18"/>
      </w:rPr>
      <w:t xml:space="preserve"> </w:t>
    </w:r>
    <w:r w:rsidRPr="00EE588F">
      <w:rPr>
        <w:rStyle w:val="PageNumber"/>
        <w:rFonts w:ascii="Arial" w:hAnsi="Arial" w:cs="Arial"/>
        <w:sz w:val="18"/>
        <w:szCs w:val="18"/>
      </w:rPr>
      <w:fldChar w:fldCharType="begin"/>
    </w:r>
    <w:r w:rsidRPr="00EE588F">
      <w:rPr>
        <w:rStyle w:val="PageNumber"/>
        <w:rFonts w:ascii="Arial" w:hAnsi="Arial" w:cs="Arial"/>
        <w:sz w:val="18"/>
        <w:szCs w:val="18"/>
      </w:rPr>
      <w:instrText xml:space="preserve"> PAGE </w:instrText>
    </w:r>
    <w:r w:rsidRPr="00EE588F">
      <w:rPr>
        <w:rStyle w:val="PageNumber"/>
        <w:rFonts w:ascii="Arial" w:hAnsi="Arial" w:cs="Arial"/>
        <w:sz w:val="18"/>
        <w:szCs w:val="18"/>
      </w:rPr>
      <w:fldChar w:fldCharType="separate"/>
    </w:r>
    <w:r w:rsidR="00501B2F">
      <w:rPr>
        <w:rStyle w:val="PageNumber"/>
        <w:rFonts w:ascii="Arial" w:hAnsi="Arial" w:cs="Arial"/>
        <w:noProof/>
        <w:sz w:val="18"/>
        <w:szCs w:val="18"/>
      </w:rPr>
      <w:t>3</w:t>
    </w:r>
    <w:r w:rsidRPr="00EE588F">
      <w:rPr>
        <w:rStyle w:val="PageNumber"/>
        <w:rFonts w:ascii="Arial" w:hAnsi="Arial" w:cs="Arial"/>
        <w:sz w:val="18"/>
        <w:szCs w:val="18"/>
      </w:rPr>
      <w:fldChar w:fldCharType="end"/>
    </w:r>
    <w:r>
      <w:rPr>
        <w:rFonts w:ascii="Arial" w:hAnsi="Arial"/>
        <w:sz w:val="18"/>
      </w:rPr>
      <w:t xml:space="preserve"> of 3</w:t>
    </w:r>
  </w:p>
  <w:p w:rsidR="00571394" w14:paraId="4D8DF65A" w14:textId="4E3D8BF9">
    <w:pPr>
      <w:tabs>
        <w:tab w:val="right" w:pos="9720"/>
      </w:tabs>
      <w:rPr>
        <w:rFonts w:ascii="Arial" w:hAnsi="Arial"/>
        <w:color w:val="auto"/>
        <w:sz w:val="18"/>
        <w:shd w:val="clear" w:color="auto" w:fill="auto"/>
      </w:rPr>
    </w:pPr>
    <w:r>
      <w:rPr>
        <w:rFonts w:ascii="Arial" w:hAnsi="Arial"/>
        <w:sz w:val="18"/>
      </w:rPr>
      <w:t>Effective Date:</w:t>
    </w:r>
    <w:r w:rsidR="003E2951">
      <w:rPr>
        <w:rFonts w:ascii="Arial" w:hAnsi="Arial"/>
        <w:sz w:val="18"/>
      </w:rPr>
      <w:t xml:space="preserve">  </w:t>
    </w:r>
    <w:r w:rsidR="002B6DA7">
      <w:rPr>
        <w:rFonts w:ascii="Arial" w:hAnsi="Arial"/>
        <w:sz w:val="18"/>
      </w:rPr>
      <w:t>____________</w:t>
    </w:r>
    <w:r w:rsidR="003E72E8">
      <w:rPr>
        <w:rFonts w:ascii="Arial" w:hAnsi="Arial"/>
        <w:sz w:val="18"/>
      </w:rPr>
      <w:tab/>
      <w:t xml:space="preserve">Revision: </w:t>
    </w:r>
    <w:r w:rsidR="00CC05AA">
      <w:rPr>
        <w:rFonts w:ascii="Arial" w:hAnsi="Arial"/>
        <w:sz w:val="18"/>
      </w:rPr>
      <w:t xml:space="preserve"> </w:t>
    </w:r>
    <w:r w:rsidR="002B6DA7">
      <w:rPr>
        <w:rFonts w:ascii="Arial" w:hAnsi="Arial"/>
        <w:sz w:val="18"/>
      </w:rPr>
      <w:t>___</w:t>
    </w:r>
  </w:p>
  <w:p w:rsidR="00571394" w14:paraId="5A30AE77" w14:textId="77777777">
    <w:pPr>
      <w:spacing w:line="36" w:lineRule="exact"/>
      <w:rPr>
        <w:rFonts w:ascii="Arial" w:hAnsi="Arial"/>
        <w:color w:val="auto"/>
        <w:sz w:val="18"/>
        <w:shd w:val="clear" w:color="auto" w:fill="auto"/>
      </w:rPr>
    </w:pPr>
    <w:r>
      <w:rPr>
        <w:noProof/>
      </w:rPr>
      <mc:AlternateContent>
        <mc:Choice Requires="wps">
          <w:drawing>
            <wp:anchor distT="0" distB="0" distL="114300" distR="114300" simplePos="0" relativeHeight="251658240" behindDoc="1" locked="1" layoutInCell="0" allowOverlap="1">
              <wp:simplePos x="0" y="0"/>
              <wp:positionH relativeFrom="page">
                <wp:posOffset>914400</wp:posOffset>
              </wp:positionH>
              <wp:positionV relativeFrom="paragraph">
                <wp:posOffset>0</wp:posOffset>
              </wp:positionV>
              <wp:extent cx="6172200" cy="22860"/>
              <wp:effectExtent l="0" t="0" r="0" b="0"/>
              <wp:wrapNone/>
              <wp:docPr id="2" name="Rectangle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6172200" cy="22860"/>
                      </a:xfrm>
                      <a:prstGeom prst="rect">
                        <a:avLst/>
                      </a:prstGeom>
                      <a:solidFill>
                        <a:srgbClr val="000000"/>
                      </a:solidFill>
                      <a:ln>
                        <a:noFill/>
                      </a:ln>
                      <a:extLst>
                        <a:ext xmlns:a="http://schemas.openxmlformats.org/drawingml/2006/main" uri="{91240B29-F687-4F45-9708-019B960494DF}">
                          <a14:hiddenLine xmlns:a14="http://schemas.microsoft.com/office/drawing/2010/main">
                            <a:solidFill>
                              <a:srgbClr val="000000"/>
                            </a:solidFill>
                            <a:miter lim="800000"/>
                            <a:headEnd/>
                            <a:tailEnd/>
                          </a14:hiddenLine>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Rectangle 3" o:spid="_x0000_s2050" style="width:486pt;height:1.8pt;margin-top:0;margin-left:1in;mso-height-percent:0;mso-height-relative:page;mso-position-horizontal-relative:page;mso-width-percent:0;mso-width-relative:page;mso-wrap-distance-bottom:0;mso-wrap-distance-left:9pt;mso-wrap-distance-right:9pt;mso-wrap-distance-top:0;mso-wrap-style:square;position:absolute;visibility:visible;v-text-anchor:top;z-index:-251657216" o:allowincell="f" fillcolor="black" stroked="f">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1394" w14:paraId="164AF04D" w14:textId="77777777">
    <w:pPr>
      <w:pStyle w:val="Header"/>
      <w:rPr>
        <w:color w:val="C0C0C0"/>
        <w:shd w:val="clear" w:color="auto" w:fill="auto"/>
      </w:rPr>
    </w:pPr>
    <w:r>
      <w:rPr>
        <w:noProof/>
      </w:rPr>
      <mc:AlternateContent>
        <mc:Choice Requires="wps">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5985510" cy="2393950"/>
              <wp:effectExtent l="0" t="1524000" r="0" b="1377950"/>
              <wp:wrapNone/>
              <wp:docPr id="3" name="WordArt 7"/>
              <wp:cNvGraphicFramePr/>
              <a:graphic xmlns:a="http://schemas.openxmlformats.org/drawingml/2006/main">
                <a:graphicData uri="http://schemas.microsoft.com/office/word/2010/wordprocessingShape">
                  <wps:wsp xmlns:wps="http://schemas.microsoft.com/office/word/2010/wordprocessingShape">
                    <wps:cNvSpPr txBox="1">
                      <a:spLocks noChangeArrowheads="1" noChangeShapeType="1" noTextEdit="1"/>
                    </wps:cNvSpPr>
                    <wps:spPr bwMode="auto">
                      <a:xfrm rot="18900000">
                        <a:off x="0" y="0"/>
                        <a:ext cx="5985510" cy="2393950"/>
                      </a:xfrm>
                      <a:prstGeom prst="rect">
                        <a:avLst/>
                      </a:prstGeom>
                      <a:extLst>
                        <a:ext xmlns:a="http://schemas.openxmlformats.org/drawingml/2006/main" uri="{91240B29-F687-4F45-9708-019B960494DF}">
                          <a14:hiddenLine xmlns:a14="http://schemas.microsoft.com/office/drawing/2010/main" w="9525">
                            <a:solidFill>
                              <a:srgbClr val="000000"/>
                            </a:solidFill>
                            <a:round/>
                            <a:headEnd/>
                            <a:tailEnd/>
                          </a14:hiddenLine>
                        </a:ext>
                      </a:extLst>
                    </wps:spPr>
                    <wps:txbx>
                      <w:txbxContent>
                        <w:p w:rsidR="00851039" w:rsidP="00851039" w14:textId="77777777">
                          <w:pPr>
                            <w:pStyle w:val="NormalWeb"/>
                            <w:spacing w:before="0" w:beforeAutospacing="0" w:after="0" w:afterAutospacing="0"/>
                            <w:jc w:val="center"/>
                            <w:rPr>
                              <w:color w:val="C0C0C0"/>
                              <w:shd w:val="clear" w:color="auto" w:fill="auto"/>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7" o:spid="_x0000_s2051" type="#_x0000_t202" style="width:471.3pt;height:188.5pt;margin-top:0;margin-left:0;mso-height-percent:0;mso-height-relative:page;mso-position-horizontal:center;mso-position-horizontal-relative:margin;mso-position-vertical:center;mso-position-vertical-relative:margin;mso-width-percent:0;mso-width-relative:page;mso-wrap-distance-bottom:0;mso-wrap-distance-left:9pt;mso-wrap-distance-right:9pt;mso-wrap-distance-top:0;mso-wrap-style:square;position:absolute;rotation:-45;visibility:visible;v-text-anchor:top;z-index:-251651072" o:allowincell="f" filled="f" stroked="f">
              <v:stroke joinstyle="round"/>
              <o:lock v:ext="edit" shapetype="t"/>
              <v:textbox style="mso-fit-shape-to-text:t">
                <w:txbxContent>
                  <w:p w:rsidR="00851039" w:rsidP="00851039" w14:paraId="5F64DACE" w14:textId="77777777">
                    <w:pPr>
                      <w:pStyle w:val="NormalWeb"/>
                      <w:spacing w:before="0" w:beforeAutospacing="0" w:after="0" w:afterAutospacing="0"/>
                      <w:jc w:val="center"/>
                      <w:rPr>
                        <w:color w:val="C0C0C0"/>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1394" w14:paraId="6F76ACA7" w14:textId="77777777">
    <w:pPr>
      <w:pStyle w:val="Header"/>
      <w:rPr>
        <w:color w:val="C0C0C0"/>
        <w:shd w:val="clear" w:color="auto" w:fill="auto"/>
      </w:rPr>
    </w:pPr>
    <w:r>
      <w:rPr>
        <w:noProof/>
      </w:rPr>
      <mc:AlternateContent>
        <mc:Choice Requires="wps">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985510" cy="2393950"/>
              <wp:effectExtent l="0" t="1524000" r="0" b="1377950"/>
              <wp:wrapNone/>
              <wp:docPr id="1" name="WordArt 6"/>
              <wp:cNvGraphicFramePr/>
              <a:graphic xmlns:a="http://schemas.openxmlformats.org/drawingml/2006/main">
                <a:graphicData uri="http://schemas.microsoft.com/office/word/2010/wordprocessingShape">
                  <wps:wsp xmlns:wps="http://schemas.microsoft.com/office/word/2010/wordprocessingShape">
                    <wps:cNvSpPr txBox="1">
                      <a:spLocks noChangeArrowheads="1" noChangeShapeType="1" noTextEdit="1"/>
                    </wps:cNvSpPr>
                    <wps:spPr bwMode="auto">
                      <a:xfrm rot="18900000">
                        <a:off x="0" y="0"/>
                        <a:ext cx="5985510" cy="2393950"/>
                      </a:xfrm>
                      <a:prstGeom prst="rect">
                        <a:avLst/>
                      </a:prstGeom>
                      <a:extLst>
                        <a:ext xmlns:a="http://schemas.openxmlformats.org/drawingml/2006/main" uri="{91240B29-F687-4F45-9708-019B960494DF}">
                          <a14:hiddenLine xmlns:a14="http://schemas.microsoft.com/office/drawing/2010/main" w="9525">
                            <a:solidFill>
                              <a:srgbClr val="000000"/>
                            </a:solidFill>
                            <a:round/>
                            <a:headEnd/>
                            <a:tailEnd/>
                          </a14:hiddenLine>
                        </a:ext>
                      </a:extLst>
                    </wps:spPr>
                    <wps:txbx>
                      <w:txbxContent>
                        <w:p w:rsidR="00851039" w:rsidP="00851039" w14:textId="77777777">
                          <w:pPr>
                            <w:pStyle w:val="NormalWeb"/>
                            <w:spacing w:before="0" w:beforeAutospacing="0" w:after="0" w:afterAutospacing="0"/>
                            <w:jc w:val="center"/>
                            <w:rPr>
                              <w:color w:val="C0C0C0"/>
                              <w:shd w:val="clear" w:color="auto" w:fill="auto"/>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6" o:spid="_x0000_s2052" type="#_x0000_t202" style="width:471.3pt;height:188.5pt;margin-top:0;margin-left:0;mso-height-percent:0;mso-height-relative:page;mso-position-horizontal:center;mso-position-horizontal-relative:margin;mso-position-vertical:center;mso-position-vertical-relative:margin;mso-width-percent:0;mso-width-relative:page;mso-wrap-distance-bottom:0;mso-wrap-distance-left:9pt;mso-wrap-distance-right:9pt;mso-wrap-distance-top:0;mso-wrap-style:square;position:absolute;rotation:-45;visibility:visible;v-text-anchor:top;z-index:-251653120" o:allowincell="f" filled="f" stroked="f">
              <v:stroke joinstyle="round"/>
              <o:lock v:ext="edit" shapetype="t"/>
              <v:textbox style="mso-fit-shape-to-text:t">
                <w:txbxContent>
                  <w:p w:rsidR="00851039" w:rsidP="00851039" w14:paraId="7A8AA8B8" w14:textId="77777777">
                    <w:pPr>
                      <w:pStyle w:val="NormalWeb"/>
                      <w:spacing w:before="0" w:beforeAutospacing="0" w:after="0" w:afterAutospacing="0"/>
                      <w:jc w:val="center"/>
                      <w:rPr>
                        <w:color w:val="C0C0C0"/>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oNotTrackFormatting/>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F70"/>
    <w:rsid w:val="0000034C"/>
    <w:rsid w:val="000234EF"/>
    <w:rsid w:val="00026ECB"/>
    <w:rsid w:val="00027F3D"/>
    <w:rsid w:val="00031CFF"/>
    <w:rsid w:val="00036C53"/>
    <w:rsid w:val="0004218F"/>
    <w:rsid w:val="00043FD5"/>
    <w:rsid w:val="00050CDE"/>
    <w:rsid w:val="000532B0"/>
    <w:rsid w:val="000544BB"/>
    <w:rsid w:val="00054904"/>
    <w:rsid w:val="0005592C"/>
    <w:rsid w:val="000563AE"/>
    <w:rsid w:val="00057050"/>
    <w:rsid w:val="000571FF"/>
    <w:rsid w:val="000575C8"/>
    <w:rsid w:val="0006415A"/>
    <w:rsid w:val="000641D8"/>
    <w:rsid w:val="0006432D"/>
    <w:rsid w:val="000654F0"/>
    <w:rsid w:val="00066756"/>
    <w:rsid w:val="00071806"/>
    <w:rsid w:val="00077E0D"/>
    <w:rsid w:val="000800ED"/>
    <w:rsid w:val="0008202A"/>
    <w:rsid w:val="0008401B"/>
    <w:rsid w:val="00090D8B"/>
    <w:rsid w:val="00091976"/>
    <w:rsid w:val="000A3CFA"/>
    <w:rsid w:val="000B0206"/>
    <w:rsid w:val="000B6C6D"/>
    <w:rsid w:val="000B763F"/>
    <w:rsid w:val="000C525B"/>
    <w:rsid w:val="000C561A"/>
    <w:rsid w:val="000D0A97"/>
    <w:rsid w:val="000E5765"/>
    <w:rsid w:val="000E5E4D"/>
    <w:rsid w:val="000E5EF5"/>
    <w:rsid w:val="000F58BD"/>
    <w:rsid w:val="000F58C0"/>
    <w:rsid w:val="001028B3"/>
    <w:rsid w:val="00106754"/>
    <w:rsid w:val="00106F41"/>
    <w:rsid w:val="001157C9"/>
    <w:rsid w:val="00117915"/>
    <w:rsid w:val="00133F6C"/>
    <w:rsid w:val="001404D8"/>
    <w:rsid w:val="00140E2B"/>
    <w:rsid w:val="0014127B"/>
    <w:rsid w:val="0015496C"/>
    <w:rsid w:val="00154A95"/>
    <w:rsid w:val="00160BE7"/>
    <w:rsid w:val="00165C5E"/>
    <w:rsid w:val="00170648"/>
    <w:rsid w:val="00185150"/>
    <w:rsid w:val="001907D9"/>
    <w:rsid w:val="00191772"/>
    <w:rsid w:val="001A14FF"/>
    <w:rsid w:val="001B1509"/>
    <w:rsid w:val="001D6A3C"/>
    <w:rsid w:val="001E1ACF"/>
    <w:rsid w:val="001E48F1"/>
    <w:rsid w:val="001E526D"/>
    <w:rsid w:val="001E54A6"/>
    <w:rsid w:val="001E6678"/>
    <w:rsid w:val="001F08CA"/>
    <w:rsid w:val="001F1285"/>
    <w:rsid w:val="001F1BB8"/>
    <w:rsid w:val="001F33C7"/>
    <w:rsid w:val="001F457B"/>
    <w:rsid w:val="00210F84"/>
    <w:rsid w:val="00231689"/>
    <w:rsid w:val="002372AD"/>
    <w:rsid w:val="002400E6"/>
    <w:rsid w:val="002461DE"/>
    <w:rsid w:val="0025259F"/>
    <w:rsid w:val="00271603"/>
    <w:rsid w:val="002726A2"/>
    <w:rsid w:val="002A7E11"/>
    <w:rsid w:val="002B39E4"/>
    <w:rsid w:val="002B6DA7"/>
    <w:rsid w:val="002C0728"/>
    <w:rsid w:val="002C4CB0"/>
    <w:rsid w:val="002E150A"/>
    <w:rsid w:val="002E2D5D"/>
    <w:rsid w:val="002E4411"/>
    <w:rsid w:val="002F0088"/>
    <w:rsid w:val="002F6687"/>
    <w:rsid w:val="00313E2F"/>
    <w:rsid w:val="0033350B"/>
    <w:rsid w:val="00336062"/>
    <w:rsid w:val="0034296B"/>
    <w:rsid w:val="00385C9A"/>
    <w:rsid w:val="00390C2A"/>
    <w:rsid w:val="00391292"/>
    <w:rsid w:val="00391C8E"/>
    <w:rsid w:val="003A25D9"/>
    <w:rsid w:val="003A3E0D"/>
    <w:rsid w:val="003B1376"/>
    <w:rsid w:val="003B3223"/>
    <w:rsid w:val="003B7C9A"/>
    <w:rsid w:val="003C60AA"/>
    <w:rsid w:val="003E2951"/>
    <w:rsid w:val="003E5DF6"/>
    <w:rsid w:val="003E72E8"/>
    <w:rsid w:val="003F1AB4"/>
    <w:rsid w:val="003F3231"/>
    <w:rsid w:val="004102BE"/>
    <w:rsid w:val="00410866"/>
    <w:rsid w:val="004130E5"/>
    <w:rsid w:val="0042505B"/>
    <w:rsid w:val="00442AFF"/>
    <w:rsid w:val="004431AE"/>
    <w:rsid w:val="00456781"/>
    <w:rsid w:val="004638BC"/>
    <w:rsid w:val="00470F70"/>
    <w:rsid w:val="00487331"/>
    <w:rsid w:val="00487FAF"/>
    <w:rsid w:val="004A2D30"/>
    <w:rsid w:val="004B0224"/>
    <w:rsid w:val="004B220F"/>
    <w:rsid w:val="004B4156"/>
    <w:rsid w:val="004B62C2"/>
    <w:rsid w:val="004C0943"/>
    <w:rsid w:val="004C4BD4"/>
    <w:rsid w:val="004C6C30"/>
    <w:rsid w:val="004D3140"/>
    <w:rsid w:val="004D53EE"/>
    <w:rsid w:val="004E13D0"/>
    <w:rsid w:val="004E5441"/>
    <w:rsid w:val="004F4776"/>
    <w:rsid w:val="004F5B0B"/>
    <w:rsid w:val="00501B2F"/>
    <w:rsid w:val="005036C2"/>
    <w:rsid w:val="005235A2"/>
    <w:rsid w:val="00533B7F"/>
    <w:rsid w:val="00534334"/>
    <w:rsid w:val="00535F46"/>
    <w:rsid w:val="00556E7E"/>
    <w:rsid w:val="00571394"/>
    <w:rsid w:val="0057251B"/>
    <w:rsid w:val="00580E11"/>
    <w:rsid w:val="00595EB9"/>
    <w:rsid w:val="005B15B6"/>
    <w:rsid w:val="005B6B3C"/>
    <w:rsid w:val="005C587F"/>
    <w:rsid w:val="005D3148"/>
    <w:rsid w:val="005D76DB"/>
    <w:rsid w:val="005E0856"/>
    <w:rsid w:val="005E1D66"/>
    <w:rsid w:val="005E2B6B"/>
    <w:rsid w:val="005E37F5"/>
    <w:rsid w:val="005E56EE"/>
    <w:rsid w:val="005F1FB6"/>
    <w:rsid w:val="005F5DB3"/>
    <w:rsid w:val="00601C59"/>
    <w:rsid w:val="006331DB"/>
    <w:rsid w:val="00641D87"/>
    <w:rsid w:val="006559E7"/>
    <w:rsid w:val="00661964"/>
    <w:rsid w:val="00666C40"/>
    <w:rsid w:val="006706A0"/>
    <w:rsid w:val="00675EBB"/>
    <w:rsid w:val="00680C0B"/>
    <w:rsid w:val="0068140E"/>
    <w:rsid w:val="006835DA"/>
    <w:rsid w:val="00690262"/>
    <w:rsid w:val="006935AB"/>
    <w:rsid w:val="00694E1C"/>
    <w:rsid w:val="0069521F"/>
    <w:rsid w:val="00695445"/>
    <w:rsid w:val="006A302C"/>
    <w:rsid w:val="006A466F"/>
    <w:rsid w:val="006A7FC8"/>
    <w:rsid w:val="006B017C"/>
    <w:rsid w:val="006B438E"/>
    <w:rsid w:val="006B684F"/>
    <w:rsid w:val="006C133E"/>
    <w:rsid w:val="006C3427"/>
    <w:rsid w:val="006D7C2E"/>
    <w:rsid w:val="006E0A43"/>
    <w:rsid w:val="006E100A"/>
    <w:rsid w:val="006E4693"/>
    <w:rsid w:val="00704F49"/>
    <w:rsid w:val="00705588"/>
    <w:rsid w:val="00720997"/>
    <w:rsid w:val="00726F84"/>
    <w:rsid w:val="00734E2D"/>
    <w:rsid w:val="0073608D"/>
    <w:rsid w:val="00740BBD"/>
    <w:rsid w:val="007436BD"/>
    <w:rsid w:val="00761351"/>
    <w:rsid w:val="007655B2"/>
    <w:rsid w:val="00771597"/>
    <w:rsid w:val="00794624"/>
    <w:rsid w:val="007972CC"/>
    <w:rsid w:val="007A66F5"/>
    <w:rsid w:val="007B5BF9"/>
    <w:rsid w:val="007C156B"/>
    <w:rsid w:val="007C1D0C"/>
    <w:rsid w:val="007C3B15"/>
    <w:rsid w:val="007C47F8"/>
    <w:rsid w:val="007C6EC0"/>
    <w:rsid w:val="007D56F7"/>
    <w:rsid w:val="007E768F"/>
    <w:rsid w:val="007F3797"/>
    <w:rsid w:val="00803433"/>
    <w:rsid w:val="0083090E"/>
    <w:rsid w:val="00833DA2"/>
    <w:rsid w:val="00851039"/>
    <w:rsid w:val="00851513"/>
    <w:rsid w:val="008516D0"/>
    <w:rsid w:val="0085747A"/>
    <w:rsid w:val="00864FD8"/>
    <w:rsid w:val="00867787"/>
    <w:rsid w:val="00874D72"/>
    <w:rsid w:val="00880627"/>
    <w:rsid w:val="00895F13"/>
    <w:rsid w:val="008A1F58"/>
    <w:rsid w:val="008A7EBE"/>
    <w:rsid w:val="008B6561"/>
    <w:rsid w:val="008B7B91"/>
    <w:rsid w:val="008D01D8"/>
    <w:rsid w:val="008D7910"/>
    <w:rsid w:val="008D7E41"/>
    <w:rsid w:val="008E5D07"/>
    <w:rsid w:val="008F1E9C"/>
    <w:rsid w:val="008F4D95"/>
    <w:rsid w:val="008F7B12"/>
    <w:rsid w:val="00906FE5"/>
    <w:rsid w:val="00910ACD"/>
    <w:rsid w:val="0091116A"/>
    <w:rsid w:val="00920D89"/>
    <w:rsid w:val="0092175C"/>
    <w:rsid w:val="00933D03"/>
    <w:rsid w:val="00934422"/>
    <w:rsid w:val="0093659B"/>
    <w:rsid w:val="00941D90"/>
    <w:rsid w:val="0094340B"/>
    <w:rsid w:val="009446FA"/>
    <w:rsid w:val="00945128"/>
    <w:rsid w:val="00956379"/>
    <w:rsid w:val="009616C8"/>
    <w:rsid w:val="00970B6F"/>
    <w:rsid w:val="009855BB"/>
    <w:rsid w:val="00986819"/>
    <w:rsid w:val="00987E1F"/>
    <w:rsid w:val="00991281"/>
    <w:rsid w:val="009946B4"/>
    <w:rsid w:val="009B3D0B"/>
    <w:rsid w:val="009B76D8"/>
    <w:rsid w:val="009C3222"/>
    <w:rsid w:val="009D1827"/>
    <w:rsid w:val="009D2725"/>
    <w:rsid w:val="009D3F3C"/>
    <w:rsid w:val="009F5495"/>
    <w:rsid w:val="00A00C05"/>
    <w:rsid w:val="00A03499"/>
    <w:rsid w:val="00A07CE1"/>
    <w:rsid w:val="00A124A9"/>
    <w:rsid w:val="00A147DA"/>
    <w:rsid w:val="00A22906"/>
    <w:rsid w:val="00A243CB"/>
    <w:rsid w:val="00A31B9E"/>
    <w:rsid w:val="00A33AE0"/>
    <w:rsid w:val="00A36227"/>
    <w:rsid w:val="00A412E2"/>
    <w:rsid w:val="00A42E7F"/>
    <w:rsid w:val="00A51AB3"/>
    <w:rsid w:val="00A615D6"/>
    <w:rsid w:val="00A63087"/>
    <w:rsid w:val="00A66113"/>
    <w:rsid w:val="00A92509"/>
    <w:rsid w:val="00A95F1B"/>
    <w:rsid w:val="00AA1DFE"/>
    <w:rsid w:val="00AA494E"/>
    <w:rsid w:val="00AA5F58"/>
    <w:rsid w:val="00AA74E5"/>
    <w:rsid w:val="00AB0B58"/>
    <w:rsid w:val="00AB5457"/>
    <w:rsid w:val="00AB76A5"/>
    <w:rsid w:val="00AC306A"/>
    <w:rsid w:val="00AC43CC"/>
    <w:rsid w:val="00AC4C45"/>
    <w:rsid w:val="00AC6172"/>
    <w:rsid w:val="00AD436D"/>
    <w:rsid w:val="00AD73A8"/>
    <w:rsid w:val="00AE332F"/>
    <w:rsid w:val="00AE452B"/>
    <w:rsid w:val="00AF4E9A"/>
    <w:rsid w:val="00B054C6"/>
    <w:rsid w:val="00B12D1A"/>
    <w:rsid w:val="00B13721"/>
    <w:rsid w:val="00B3062D"/>
    <w:rsid w:val="00B34E0C"/>
    <w:rsid w:val="00B44AB1"/>
    <w:rsid w:val="00B45531"/>
    <w:rsid w:val="00B4758B"/>
    <w:rsid w:val="00B728FB"/>
    <w:rsid w:val="00B73220"/>
    <w:rsid w:val="00B734EB"/>
    <w:rsid w:val="00B74E41"/>
    <w:rsid w:val="00B830D4"/>
    <w:rsid w:val="00B8643F"/>
    <w:rsid w:val="00B87809"/>
    <w:rsid w:val="00B94186"/>
    <w:rsid w:val="00BB5418"/>
    <w:rsid w:val="00BD0DD9"/>
    <w:rsid w:val="00BD3928"/>
    <w:rsid w:val="00BD4033"/>
    <w:rsid w:val="00BF63E8"/>
    <w:rsid w:val="00BF7C82"/>
    <w:rsid w:val="00C14D1E"/>
    <w:rsid w:val="00C24A18"/>
    <w:rsid w:val="00C41FF8"/>
    <w:rsid w:val="00C42986"/>
    <w:rsid w:val="00C5053E"/>
    <w:rsid w:val="00C5091A"/>
    <w:rsid w:val="00C61B09"/>
    <w:rsid w:val="00C65803"/>
    <w:rsid w:val="00C758E8"/>
    <w:rsid w:val="00C83187"/>
    <w:rsid w:val="00C86D6A"/>
    <w:rsid w:val="00C91721"/>
    <w:rsid w:val="00C953B0"/>
    <w:rsid w:val="00CB01FA"/>
    <w:rsid w:val="00CC027A"/>
    <w:rsid w:val="00CC05AA"/>
    <w:rsid w:val="00CD0B5F"/>
    <w:rsid w:val="00CD4511"/>
    <w:rsid w:val="00CE0829"/>
    <w:rsid w:val="00CE2D05"/>
    <w:rsid w:val="00CF1BD4"/>
    <w:rsid w:val="00D05FE9"/>
    <w:rsid w:val="00D07D88"/>
    <w:rsid w:val="00D17EFF"/>
    <w:rsid w:val="00D26408"/>
    <w:rsid w:val="00D3297A"/>
    <w:rsid w:val="00D3417C"/>
    <w:rsid w:val="00D40A48"/>
    <w:rsid w:val="00D41620"/>
    <w:rsid w:val="00D4344F"/>
    <w:rsid w:val="00D46D62"/>
    <w:rsid w:val="00D47A18"/>
    <w:rsid w:val="00D51722"/>
    <w:rsid w:val="00D60B36"/>
    <w:rsid w:val="00D633F6"/>
    <w:rsid w:val="00D65307"/>
    <w:rsid w:val="00D654B4"/>
    <w:rsid w:val="00D67280"/>
    <w:rsid w:val="00D74AFA"/>
    <w:rsid w:val="00D903BB"/>
    <w:rsid w:val="00D911EE"/>
    <w:rsid w:val="00D918AA"/>
    <w:rsid w:val="00D92DF0"/>
    <w:rsid w:val="00DA286F"/>
    <w:rsid w:val="00DA2E5C"/>
    <w:rsid w:val="00DA3025"/>
    <w:rsid w:val="00DB0BA5"/>
    <w:rsid w:val="00DC15B1"/>
    <w:rsid w:val="00DD17B9"/>
    <w:rsid w:val="00DD4F4C"/>
    <w:rsid w:val="00DE1011"/>
    <w:rsid w:val="00DE13B3"/>
    <w:rsid w:val="00DE19A4"/>
    <w:rsid w:val="00DE4568"/>
    <w:rsid w:val="00E00DC9"/>
    <w:rsid w:val="00E17B5D"/>
    <w:rsid w:val="00E248AC"/>
    <w:rsid w:val="00E30983"/>
    <w:rsid w:val="00E33C41"/>
    <w:rsid w:val="00E34833"/>
    <w:rsid w:val="00E46CF0"/>
    <w:rsid w:val="00E50F46"/>
    <w:rsid w:val="00E54674"/>
    <w:rsid w:val="00E71D7F"/>
    <w:rsid w:val="00E765C7"/>
    <w:rsid w:val="00EA4BBC"/>
    <w:rsid w:val="00EA6831"/>
    <w:rsid w:val="00EB2936"/>
    <w:rsid w:val="00ED5F53"/>
    <w:rsid w:val="00ED6BA3"/>
    <w:rsid w:val="00EE588F"/>
    <w:rsid w:val="00EF0D1C"/>
    <w:rsid w:val="00F020D9"/>
    <w:rsid w:val="00F04445"/>
    <w:rsid w:val="00F15C08"/>
    <w:rsid w:val="00F20902"/>
    <w:rsid w:val="00F308DA"/>
    <w:rsid w:val="00F375FB"/>
    <w:rsid w:val="00F41700"/>
    <w:rsid w:val="00F4395D"/>
    <w:rsid w:val="00F46770"/>
    <w:rsid w:val="00F61592"/>
    <w:rsid w:val="00F64FA2"/>
    <w:rsid w:val="00F728A6"/>
    <w:rsid w:val="00F75F06"/>
    <w:rsid w:val="00F80A35"/>
    <w:rsid w:val="00F869CE"/>
    <w:rsid w:val="00F97261"/>
    <w:rsid w:val="00FA0A8C"/>
    <w:rsid w:val="00FA6BD9"/>
    <w:rsid w:val="00FB3D5C"/>
    <w:rsid w:val="00FB56BA"/>
    <w:rsid w:val="00FB6CEF"/>
    <w:rsid w:val="00FC100D"/>
    <w:rsid w:val="00FC2763"/>
    <w:rsid w:val="00FD1B60"/>
    <w:rsid w:val="00FF6C1B"/>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5:docId w15:val="{13A0AAC1-D50B-4DBA-853E-3C6EB81CF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5E4D"/>
    <w:pPr>
      <w:widowControl w:val="0"/>
    </w:pPr>
    <w:rPr>
      <w:sz w:val="24"/>
    </w:rPr>
  </w:style>
  <w:style w:type="paragraph" w:styleId="Heading1">
    <w:name w:val="heading 1"/>
    <w:basedOn w:val="Normal"/>
    <w:next w:val="Normal"/>
    <w:link w:val="Heading1Char"/>
    <w:uiPriority w:val="99"/>
    <w:qFormat/>
    <w:rsid w:val="000E5E4D"/>
    <w:pPr>
      <w:keepNext/>
      <w:widowControl/>
      <w:jc w:val="center"/>
      <w:outlineLvl w:val="0"/>
    </w:pPr>
    <w:rPr>
      <w:b/>
      <w:sz w:val="20"/>
      <w:u w:val="single"/>
    </w:rPr>
  </w:style>
  <w:style w:type="paragraph" w:styleId="Heading2">
    <w:name w:val="heading 2"/>
    <w:basedOn w:val="Normal"/>
    <w:next w:val="Normal"/>
    <w:link w:val="Heading2Char"/>
    <w:uiPriority w:val="99"/>
    <w:qFormat/>
    <w:rsid w:val="000E5E4D"/>
    <w:pPr>
      <w:keepNext/>
      <w:widowControl/>
      <w:outlineLvl w:val="1"/>
    </w:pPr>
    <w:rPr>
      <w:rFonts w:ascii="Arial" w:hAnsi="Arial"/>
      <w:b/>
      <w:sz w:val="20"/>
    </w:rPr>
  </w:style>
  <w:style w:type="paragraph" w:styleId="Heading3">
    <w:name w:val="heading 3"/>
    <w:basedOn w:val="Normal"/>
    <w:next w:val="Normal"/>
    <w:link w:val="Heading3Char"/>
    <w:uiPriority w:val="99"/>
    <w:qFormat/>
    <w:rsid w:val="000E5E4D"/>
    <w:pPr>
      <w:keepNext/>
      <w:outlineLvl w:val="2"/>
    </w:pPr>
    <w:rPr>
      <w:rFonts w:ascii="Arial" w:hAnsi="Arial"/>
      <w:b/>
      <w:u w:val="single"/>
    </w:rPr>
  </w:style>
  <w:style w:type="paragraph" w:styleId="Heading4">
    <w:name w:val="heading 4"/>
    <w:basedOn w:val="Normal"/>
    <w:next w:val="Normal"/>
    <w:link w:val="Heading4Char"/>
    <w:uiPriority w:val="99"/>
    <w:qFormat/>
    <w:rsid w:val="000E5E4D"/>
    <w:pPr>
      <w:keepNext/>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A3025"/>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DA3025"/>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DA3025"/>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DA3025"/>
    <w:rPr>
      <w:rFonts w:ascii="Calibri" w:hAnsi="Calibri" w:cs="Times New Roman"/>
      <w:b/>
      <w:bCs/>
      <w:sz w:val="28"/>
      <w:szCs w:val="28"/>
    </w:rPr>
  </w:style>
  <w:style w:type="character" w:styleId="FootnoteReference">
    <w:name w:val="footnote reference"/>
    <w:basedOn w:val="DefaultParagraphFont"/>
    <w:uiPriority w:val="99"/>
    <w:semiHidden/>
    <w:rsid w:val="000E5E4D"/>
    <w:rPr>
      <w:rFonts w:cs="Times New Roman"/>
    </w:rPr>
  </w:style>
  <w:style w:type="paragraph" w:styleId="Header">
    <w:name w:val="header"/>
    <w:basedOn w:val="Normal"/>
    <w:link w:val="HeaderChar"/>
    <w:uiPriority w:val="99"/>
    <w:rsid w:val="000E5E4D"/>
    <w:pPr>
      <w:tabs>
        <w:tab w:val="center" w:pos="4320"/>
        <w:tab w:val="right" w:pos="8640"/>
      </w:tabs>
    </w:pPr>
  </w:style>
  <w:style w:type="character" w:customStyle="1" w:styleId="HeaderChar">
    <w:name w:val="Header Char"/>
    <w:basedOn w:val="DefaultParagraphFont"/>
    <w:link w:val="Header"/>
    <w:uiPriority w:val="99"/>
    <w:semiHidden/>
    <w:locked/>
    <w:rsid w:val="00DA3025"/>
    <w:rPr>
      <w:rFonts w:cs="Times New Roman"/>
      <w:sz w:val="20"/>
      <w:szCs w:val="20"/>
    </w:rPr>
  </w:style>
  <w:style w:type="paragraph" w:styleId="Footer">
    <w:name w:val="footer"/>
    <w:basedOn w:val="Normal"/>
    <w:link w:val="FooterChar"/>
    <w:uiPriority w:val="99"/>
    <w:rsid w:val="000E5E4D"/>
    <w:pPr>
      <w:tabs>
        <w:tab w:val="center" w:pos="4320"/>
        <w:tab w:val="right" w:pos="8640"/>
      </w:tabs>
    </w:pPr>
  </w:style>
  <w:style w:type="character" w:customStyle="1" w:styleId="FooterChar">
    <w:name w:val="Footer Char"/>
    <w:basedOn w:val="DefaultParagraphFont"/>
    <w:link w:val="Footer"/>
    <w:uiPriority w:val="99"/>
    <w:semiHidden/>
    <w:locked/>
    <w:rsid w:val="00DA3025"/>
    <w:rPr>
      <w:rFonts w:cs="Times New Roman"/>
      <w:sz w:val="20"/>
      <w:szCs w:val="20"/>
    </w:rPr>
  </w:style>
  <w:style w:type="paragraph" w:styleId="BodyText">
    <w:name w:val="Body Text"/>
    <w:basedOn w:val="Normal"/>
    <w:link w:val="BodyTextChar"/>
    <w:uiPriority w:val="99"/>
    <w:rsid w:val="000E5E4D"/>
    <w:rPr>
      <w:rFonts w:ascii="Arial" w:hAnsi="Arial"/>
      <w:sz w:val="20"/>
    </w:rPr>
  </w:style>
  <w:style w:type="character" w:customStyle="1" w:styleId="BodyTextChar">
    <w:name w:val="Body Text Char"/>
    <w:basedOn w:val="DefaultParagraphFont"/>
    <w:link w:val="BodyText"/>
    <w:uiPriority w:val="99"/>
    <w:semiHidden/>
    <w:locked/>
    <w:rsid w:val="00DA3025"/>
    <w:rPr>
      <w:rFonts w:cs="Times New Roman"/>
      <w:sz w:val="20"/>
      <w:szCs w:val="20"/>
    </w:rPr>
  </w:style>
  <w:style w:type="paragraph" w:styleId="BodyText3">
    <w:name w:val="Body Text 3"/>
    <w:basedOn w:val="Normal"/>
    <w:link w:val="BodyText3Char"/>
    <w:uiPriority w:val="99"/>
    <w:rsid w:val="000E5E4D"/>
    <w:pPr>
      <w:widowControl/>
    </w:pPr>
    <w:rPr>
      <w:rFonts w:ascii="Arial" w:hAnsi="Arial"/>
      <w:sz w:val="20"/>
    </w:rPr>
  </w:style>
  <w:style w:type="character" w:customStyle="1" w:styleId="BodyText3Char">
    <w:name w:val="Body Text 3 Char"/>
    <w:basedOn w:val="DefaultParagraphFont"/>
    <w:link w:val="BodyText3"/>
    <w:uiPriority w:val="99"/>
    <w:semiHidden/>
    <w:locked/>
    <w:rsid w:val="00DA3025"/>
    <w:rPr>
      <w:rFonts w:cs="Times New Roman"/>
      <w:sz w:val="16"/>
      <w:szCs w:val="16"/>
    </w:rPr>
  </w:style>
  <w:style w:type="paragraph" w:styleId="BodyText2">
    <w:name w:val="Body Text 2"/>
    <w:basedOn w:val="Normal"/>
    <w:link w:val="BodyText2Char"/>
    <w:uiPriority w:val="99"/>
    <w:rsid w:val="000E5E4D"/>
    <w:rPr>
      <w:rFonts w:ascii="Arial" w:hAnsi="Arial"/>
      <w:sz w:val="16"/>
    </w:rPr>
  </w:style>
  <w:style w:type="character" w:customStyle="1" w:styleId="BodyText2Char">
    <w:name w:val="Body Text 2 Char"/>
    <w:basedOn w:val="DefaultParagraphFont"/>
    <w:link w:val="BodyText2"/>
    <w:uiPriority w:val="99"/>
    <w:semiHidden/>
    <w:locked/>
    <w:rsid w:val="00DA3025"/>
    <w:rPr>
      <w:rFonts w:cs="Times New Roman"/>
      <w:sz w:val="20"/>
      <w:szCs w:val="20"/>
    </w:rPr>
  </w:style>
  <w:style w:type="character" w:styleId="PageNumber">
    <w:name w:val="page number"/>
    <w:basedOn w:val="DefaultParagraphFont"/>
    <w:uiPriority w:val="99"/>
    <w:rsid w:val="000E5E4D"/>
    <w:rPr>
      <w:rFonts w:cs="Times New Roman"/>
    </w:rPr>
  </w:style>
  <w:style w:type="paragraph" w:styleId="BodyTextIndent">
    <w:name w:val="Body Text Indent"/>
    <w:basedOn w:val="Normal"/>
    <w:link w:val="BodyTextIndentChar"/>
    <w:uiPriority w:val="99"/>
    <w:rsid w:val="000E5E4D"/>
    <w:pPr>
      <w:tabs>
        <w:tab w:val="left" w:pos="600"/>
        <w:tab w:val="left" w:pos="1440"/>
        <w:tab w:val="left" w:pos="2040"/>
        <w:tab w:val="left" w:pos="3000"/>
        <w:tab w:val="left" w:pos="4320"/>
        <w:tab w:val="left" w:pos="5760"/>
        <w:tab w:val="left" w:pos="6720"/>
      </w:tabs>
      <w:ind w:firstLine="600"/>
      <w:jc w:val="both"/>
    </w:pPr>
  </w:style>
  <w:style w:type="character" w:customStyle="1" w:styleId="BodyTextIndentChar">
    <w:name w:val="Body Text Indent Char"/>
    <w:basedOn w:val="DefaultParagraphFont"/>
    <w:link w:val="BodyTextIndent"/>
    <w:uiPriority w:val="99"/>
    <w:semiHidden/>
    <w:locked/>
    <w:rsid w:val="00DA3025"/>
    <w:rPr>
      <w:rFonts w:cs="Times New Roman"/>
      <w:sz w:val="20"/>
      <w:szCs w:val="20"/>
    </w:rPr>
  </w:style>
  <w:style w:type="table" w:styleId="TableGrid">
    <w:name w:val="Table Grid"/>
    <w:basedOn w:val="TableNormal"/>
    <w:uiPriority w:val="99"/>
    <w:rsid w:val="007C3B1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E248A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A3025"/>
    <w:rPr>
      <w:rFonts w:cs="Times New Roman"/>
      <w:sz w:val="2"/>
    </w:rPr>
  </w:style>
  <w:style w:type="paragraph" w:styleId="BodyTextIndent2">
    <w:name w:val="Body Text Indent 2"/>
    <w:basedOn w:val="Normal"/>
    <w:link w:val="BodyTextIndent2Char"/>
    <w:uiPriority w:val="99"/>
    <w:rsid w:val="000B0206"/>
    <w:pPr>
      <w:widowControl/>
      <w:overflowPunct w:val="0"/>
      <w:autoSpaceDE w:val="0"/>
      <w:autoSpaceDN w:val="0"/>
      <w:adjustRightInd w:val="0"/>
      <w:spacing w:after="120" w:line="480" w:lineRule="auto"/>
      <w:ind w:left="360"/>
      <w:textAlignment w:val="baseline"/>
    </w:pPr>
    <w:rPr>
      <w:szCs w:val="24"/>
    </w:rPr>
  </w:style>
  <w:style w:type="character" w:customStyle="1" w:styleId="BodyTextIndent2Char">
    <w:name w:val="Body Text Indent 2 Char"/>
    <w:basedOn w:val="DefaultParagraphFont"/>
    <w:link w:val="BodyTextIndent2"/>
    <w:uiPriority w:val="99"/>
    <w:locked/>
    <w:rsid w:val="000B0206"/>
    <w:rPr>
      <w:rFonts w:cs="Times New Roman"/>
      <w:sz w:val="24"/>
      <w:szCs w:val="24"/>
      <w:lang w:val="en-US" w:eastAsia="en-US" w:bidi="ar-SA"/>
    </w:rPr>
  </w:style>
  <w:style w:type="paragraph" w:styleId="NormalWeb">
    <w:name w:val="Normal (Web)"/>
    <w:basedOn w:val="Normal"/>
    <w:uiPriority w:val="99"/>
    <w:semiHidden/>
    <w:unhideWhenUsed/>
    <w:rsid w:val="00851039"/>
    <w:pPr>
      <w:widowControl/>
      <w:spacing w:before="100" w:beforeAutospacing="1" w:after="100" w:afterAutospacing="1"/>
    </w:pPr>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header" Target="header4.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902</Words>
  <Characters>5477</Characters>
  <Application>Microsoft Office Word</Application>
  <DocSecurity>0</DocSecurity>
  <Lines>46</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